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C95F6D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955535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1.1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  <w:r w:rsidR="002B0F2C">
        <w:rPr>
          <w:rFonts w:ascii="Times New Roman" w:hAnsi="Times New Roman" w:cs="Times New Roman"/>
          <w:color w:val="FF0D0D"/>
          <w:sz w:val="50"/>
          <w:szCs w:val="50"/>
        </w:rPr>
        <w:t>31</w:t>
      </w:r>
      <w:r w:rsidR="00955535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7462CB">
      <w:pPr>
        <w:spacing w:after="0"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448"/>
      </w:tblGrid>
      <w:tr w:rsidR="00FC033C" w:rsidTr="00063035">
        <w:tc>
          <w:tcPr>
            <w:tcW w:w="2066" w:type="pct"/>
          </w:tcPr>
          <w:p w:rsidR="00FC033C" w:rsidRDefault="00D61BD9" w:rsidP="004A5E9B">
            <w:r>
              <w:rPr>
                <w:noProof/>
                <w:lang w:eastAsia="ru-RU"/>
              </w:rPr>
              <w:drawing>
                <wp:inline distT="0" distB="0" distL="0" distR="0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>Зельвенский районный исполнительный комитет</w:t>
            </w:r>
          </w:p>
          <w:p w:rsidR="00FC033C" w:rsidRPr="00532FAF" w:rsidRDefault="00E40344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Иванов Иван Иванович</w:t>
            </w:r>
          </w:p>
          <w:p w:rsidR="00FC033C" w:rsidRPr="00532FAF" w:rsidRDefault="00A45132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>зарегистрированной</w:t>
            </w:r>
            <w:r w:rsidR="00FC033C" w:rsidRPr="00532FAF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</w:t>
            </w:r>
          </w:p>
          <w:p w:rsidR="00FC033C" w:rsidRPr="00532FAF" w:rsidRDefault="00D31615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г.п. Зельва, ул. Советская, д.20, кв. 2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КН 1730123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4040578К029РВ0</w:t>
            </w:r>
          </w:p>
          <w:p w:rsidR="00FC033C" w:rsidRPr="00532FAF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532FAF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Зельвенским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532F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 xml:space="preserve"> +375 ХХ ХХХ-ХХ-ХХ</w:t>
            </w:r>
          </w:p>
        </w:tc>
      </w:tr>
    </w:tbl>
    <w:p w:rsidR="00B4639C" w:rsidRDefault="00B4639C" w:rsidP="00532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2B0F2C" w:rsidRDefault="002B0F2C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="00955535" w:rsidRPr="007462C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предоставлении субсидии на уплату части процентов за пользование кредитом</w:t>
      </w:r>
    </w:p>
    <w:p w:rsidR="007462CB" w:rsidRPr="007462CB" w:rsidRDefault="00955535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462C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(субсидии на уплату части процентов за пользование кредитом</w:t>
      </w:r>
    </w:p>
    <w:p w:rsidR="007462CB" w:rsidRPr="007462CB" w:rsidRDefault="00955535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462CB">
        <w:rPr>
          <w:rFonts w:ascii="Times New Roman" w:hAnsi="Times New Roman" w:cs="Times New Roman"/>
          <w:b/>
          <w:sz w:val="26"/>
          <w:szCs w:val="26"/>
          <w:lang w:val="ru-RU"/>
        </w:rPr>
        <w:t>и субсидии на погашение основного долга по кредиту), выданным банками</w:t>
      </w:r>
    </w:p>
    <w:p w:rsidR="00E40344" w:rsidRPr="007462CB" w:rsidRDefault="00955535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462CB">
        <w:rPr>
          <w:rFonts w:ascii="Times New Roman" w:hAnsi="Times New Roman" w:cs="Times New Roman"/>
          <w:b/>
          <w:sz w:val="26"/>
          <w:szCs w:val="26"/>
          <w:lang w:val="ru-RU"/>
        </w:rPr>
        <w:t>на строительство (реконструкцию) жилых помещений в установленном порядке</w:t>
      </w:r>
    </w:p>
    <w:p w:rsidR="00A67CE0" w:rsidRPr="007462CB" w:rsidRDefault="00A67CE0" w:rsidP="007462C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45724" w:rsidRPr="00532FAF" w:rsidRDefault="00C95F6D" w:rsidP="0014572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="002B0F2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предоставить мне субсидию на уплату части процентов за пользование кредитом и субсидию на погашение основного долга по кредиту </w:t>
      </w:r>
      <w:r w:rsidR="007462CB" w:rsidRPr="007462CB">
        <w:rPr>
          <w:rFonts w:ascii="Times New Roman" w:hAnsi="Times New Roman" w:cs="Times New Roman"/>
          <w:b/>
          <w:i/>
          <w:color w:val="0070C0"/>
          <w:sz w:val="26"/>
          <w:szCs w:val="26"/>
          <w:lang w:val="ru-RU"/>
        </w:rPr>
        <w:t>на строительство</w:t>
      </w:r>
      <w:r w:rsidR="007462CB"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>двухкомнатной квартиры № 23</w:t>
      </w:r>
      <w:r w:rsidR="00E40344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способом долевого строительства,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общей площадью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55,7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квадратного метра,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жилой площадью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29,7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квадратного метра, в доме</w:t>
      </w:r>
      <w:r w:rsidR="00E40344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№ 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10 </w:t>
      </w:r>
      <w:r w:rsidR="008000C3" w:rsidRPr="007462C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улице</w:t>
      </w:r>
      <w:r w:rsidR="008000C3" w:rsidRPr="007462CB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/>
        </w:rPr>
        <w:t xml:space="preserve"> Железнодорожной городского поселка Зельва</w:t>
      </w:r>
      <w:r w:rsidR="001457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="00145724" w:rsidRPr="00532F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 снятием с учета нуждающихся в улучшении жилищных условий.  </w:t>
      </w:r>
    </w:p>
    <w:p w:rsidR="007462CB" w:rsidRPr="002B0F2C" w:rsidRDefault="00145724" w:rsidP="00145724">
      <w:pPr>
        <w:pStyle w:val="a5"/>
        <w:ind w:firstLine="709"/>
        <w:jc w:val="both"/>
        <w:rPr>
          <w:lang w:val="ru-RU"/>
        </w:rPr>
      </w:pPr>
      <w:r w:rsidRPr="002B0F2C">
        <w:rPr>
          <w:lang w:val="ru-RU"/>
        </w:rPr>
        <w:t xml:space="preserve"> </w:t>
      </w:r>
    </w:p>
    <w:p w:rsidR="007462CB" w:rsidRDefault="007462CB" w:rsidP="007462CB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субсидии – </w:t>
      </w:r>
      <w:r w:rsidRPr="00532FAF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  <w:t>Иванов Иван Иванович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. </w:t>
      </w:r>
      <w:r w:rsidRPr="007462CB">
        <w:rPr>
          <w:rFonts w:ascii="Times New Roman" w:hAnsi="Times New Roman" w:cs="Times New Roman"/>
          <w:color w:val="000000" w:themeColor="text1"/>
          <w:sz w:val="26"/>
          <w:szCs w:val="26"/>
        </w:rPr>
        <w:t>Состав семьи –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</w:rPr>
        <w:t>6 человек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229"/>
        <w:gridCol w:w="1206"/>
        <w:gridCol w:w="3048"/>
        <w:gridCol w:w="1834"/>
      </w:tblGrid>
      <w:tr w:rsidR="00961815" w:rsidTr="00961815">
        <w:tc>
          <w:tcPr>
            <w:tcW w:w="3652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1815">
              <w:rPr>
                <w:rFonts w:ascii="Times New Roman" w:hAnsi="Times New Roman" w:cs="Times New Roman"/>
                <w:color w:val="000000" w:themeColor="text1"/>
              </w:rPr>
              <w:t>Фамилия, собственное имя, отчество (если таковое имеется) получателя субсидии на уплату части процентов за пользование кредитом и субсидии на погашение основного долга по кредиту, а также каждого члена его семьи</w:t>
            </w:r>
          </w:p>
        </w:tc>
        <w:tc>
          <w:tcPr>
            <w:tcW w:w="1133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>Степень родства</w:t>
            </w:r>
          </w:p>
        </w:tc>
        <w:tc>
          <w:tcPr>
            <w:tcW w:w="1135" w:type="dxa"/>
          </w:tcPr>
          <w:p w:rsidR="00961815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</w:p>
          <w:p w:rsidR="007462CB" w:rsidRPr="007462CB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>рождения</w:t>
            </w:r>
          </w:p>
        </w:tc>
        <w:tc>
          <w:tcPr>
            <w:tcW w:w="3048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1815">
              <w:rPr>
                <w:rFonts w:ascii="Times New Roman" w:hAnsi="Times New Roman" w:cs="Times New Roman"/>
                <w:color w:val="000000" w:themeColor="text1"/>
              </w:rPr>
              <w:t>Идентификационный номер получателя субсидии на уплату части процентов и субсидии на погашение основного долга по кредиту, а также супруги (супруга) и детей старше 23 лет</w:t>
            </w:r>
          </w:p>
        </w:tc>
        <w:tc>
          <w:tcPr>
            <w:tcW w:w="1834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62CB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заявитель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11.05.1978</w:t>
            </w:r>
          </w:p>
        </w:tc>
        <w:tc>
          <w:tcPr>
            <w:tcW w:w="3048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411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0578К029РВ0</w:t>
            </w:r>
          </w:p>
        </w:tc>
        <w:tc>
          <w:tcPr>
            <w:tcW w:w="1834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паспорт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Иванова Инна Ивановна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супруга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01.04.1980</w:t>
            </w:r>
          </w:p>
        </w:tc>
        <w:tc>
          <w:tcPr>
            <w:tcW w:w="3048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30104</w:t>
            </w:r>
            <w:r w:rsidRPr="00532FA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0К019РВ8</w:t>
            </w:r>
          </w:p>
        </w:tc>
        <w:tc>
          <w:tcPr>
            <w:tcW w:w="1834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паспорт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 Дмитрий Иванович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сын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01.06.2007</w:t>
            </w:r>
          </w:p>
        </w:tc>
        <w:tc>
          <w:tcPr>
            <w:tcW w:w="3048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834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 Сергей Иванович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сын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18.09.2009</w:t>
            </w:r>
          </w:p>
        </w:tc>
        <w:tc>
          <w:tcPr>
            <w:tcW w:w="3048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834" w:type="dxa"/>
          </w:tcPr>
          <w:p w:rsidR="007462CB" w:rsidRPr="007462CB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  <w:tr w:rsidR="00961815" w:rsidTr="00961815">
        <w:tc>
          <w:tcPr>
            <w:tcW w:w="3652" w:type="dxa"/>
          </w:tcPr>
          <w:p w:rsidR="007462CB" w:rsidRPr="007462CB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Иванова Полина Ивановна</w:t>
            </w:r>
          </w:p>
        </w:tc>
        <w:tc>
          <w:tcPr>
            <w:tcW w:w="1133" w:type="dxa"/>
          </w:tcPr>
          <w:p w:rsidR="007462CB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дочь</w:t>
            </w:r>
          </w:p>
        </w:tc>
        <w:tc>
          <w:tcPr>
            <w:tcW w:w="1135" w:type="dxa"/>
          </w:tcPr>
          <w:p w:rsidR="007462CB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14.12.2011</w:t>
            </w:r>
          </w:p>
        </w:tc>
        <w:tc>
          <w:tcPr>
            <w:tcW w:w="3048" w:type="dxa"/>
          </w:tcPr>
          <w:p w:rsidR="007462CB" w:rsidRPr="007462CB" w:rsidRDefault="007462CB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834" w:type="dxa"/>
          </w:tcPr>
          <w:p w:rsidR="007462CB" w:rsidRPr="007462CB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  <w:tr w:rsidR="00961815" w:rsidTr="00961815">
        <w:tc>
          <w:tcPr>
            <w:tcW w:w="3652" w:type="dxa"/>
          </w:tcPr>
          <w:p w:rsidR="00961815" w:rsidRPr="00532FAF" w:rsidRDefault="00961815" w:rsidP="007462CB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  <w:r w:rsidRPr="00532FAF"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  <w:t>Иванова Мария Ивановна</w:t>
            </w:r>
          </w:p>
        </w:tc>
        <w:tc>
          <w:tcPr>
            <w:tcW w:w="1133" w:type="dxa"/>
          </w:tcPr>
          <w:p w:rsidR="00961815" w:rsidRPr="00961815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дочь</w:t>
            </w:r>
          </w:p>
        </w:tc>
        <w:tc>
          <w:tcPr>
            <w:tcW w:w="1135" w:type="dxa"/>
          </w:tcPr>
          <w:p w:rsidR="00961815" w:rsidRPr="00961815" w:rsidRDefault="00961815" w:rsidP="007462C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21.07.2018</w:t>
            </w:r>
          </w:p>
        </w:tc>
        <w:tc>
          <w:tcPr>
            <w:tcW w:w="3048" w:type="dxa"/>
          </w:tcPr>
          <w:p w:rsidR="00961815" w:rsidRPr="00141B55" w:rsidRDefault="00141B55" w:rsidP="00141B5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3070901А001РВ1</w:t>
            </w:r>
          </w:p>
        </w:tc>
        <w:tc>
          <w:tcPr>
            <w:tcW w:w="1834" w:type="dxa"/>
          </w:tcPr>
          <w:p w:rsidR="00961815" w:rsidRPr="007462CB" w:rsidRDefault="00961815" w:rsidP="0096181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961815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свидетельство о рождении</w:t>
            </w:r>
          </w:p>
        </w:tc>
      </w:tr>
    </w:tbl>
    <w:p w:rsidR="00247F00" w:rsidRDefault="00247F00" w:rsidP="00247F00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</w:p>
    <w:p w:rsidR="004C7D8A" w:rsidRPr="00532FAF" w:rsidRDefault="008000C3" w:rsidP="0024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учете нуждающихся в улучшении жилищных условий состою </w:t>
      </w:r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с 1 мая 2010 </w:t>
      </w: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г.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Зельвенском</w:t>
      </w:r>
      <w:proofErr w:type="spellEnd"/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 районном исполнительном комитете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(общий список), и </w:t>
      </w:r>
      <w:r w:rsidR="002D24D9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12 августа 2013 г. </w:t>
      </w:r>
      <w:r w:rsidR="002D24D9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Зельвенском</w:t>
      </w:r>
      <w:proofErr w:type="spellEnd"/>
      <w:r w:rsidR="002D24D9"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 xml:space="preserve"> районном исполнительном комитете</w:t>
      </w:r>
      <w:r w:rsidR="002D24D9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, как многодетная семья (отдельный список).</w:t>
      </w:r>
    </w:p>
    <w:p w:rsidR="002D24D9" w:rsidRPr="00532FAF" w:rsidRDefault="002D24D9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Дополнительно сообщаю, что я и члены моей семьи на праве собственности жилых помещений </w:t>
      </w: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не имеют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D24D9" w:rsidRDefault="002D24D9" w:rsidP="002D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Отчуждение жилых помещений, принадлежащих на праве собственности, в течение последних пяти лет мной и (или) членами моей семьи </w:t>
      </w: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не производилось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145724" w:rsidRPr="00532FAF" w:rsidRDefault="00145724" w:rsidP="00145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6"/>
          <w:szCs w:val="26"/>
        </w:rPr>
        <w:t>Даю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согласие на снятие с учета нуждающихся в улучшении жилищных условий.</w:t>
      </w:r>
    </w:p>
    <w:p w:rsidR="00145724" w:rsidRPr="00532FAF" w:rsidRDefault="00145724" w:rsidP="00145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1A55" w:rsidRDefault="00A41A55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Мне известно, что в случае умышленного представления мною заведомо неверных сведений, послуживших основанием для принятия решения о предоставлении субсидии на уплату части процентов за пользование кредитом и субсидии на погашение основного долга по кредиту, нецелевого использования выделенной субсидии на уплату части процентов за </w:t>
      </w:r>
      <w:r w:rsidR="008B01F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пользование кредитом и субсидии на погашение основного долга по кредиту, решение Зельвенского районного исполнительного комитета может быть отменено, а сумма использованных средств, взыскана в установленном законодательством порядке.</w:t>
      </w:r>
    </w:p>
    <w:p w:rsidR="008B01F2" w:rsidRDefault="008B01F2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Согласие всех совершеннолетних членов семьи, получающих вместе со мной субсидию на уплату части процентов за пользование кредитом и субсидии на погашение основного долга по кредиту, имеется: </w:t>
      </w:r>
    </w:p>
    <w:p w:rsidR="008B01F2" w:rsidRDefault="008B01F2" w:rsidP="00A4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799"/>
        <w:gridCol w:w="3663"/>
      </w:tblGrid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F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F2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F2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01F2" w:rsidTr="008B01F2">
        <w:tc>
          <w:tcPr>
            <w:tcW w:w="1526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9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</w:tcPr>
          <w:p w:rsidR="008B01F2" w:rsidRPr="008B01F2" w:rsidRDefault="008B01F2" w:rsidP="008B01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41A55" w:rsidRPr="00532FAF" w:rsidRDefault="00A41A55" w:rsidP="008B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2FAF" w:rsidRDefault="00063035" w:rsidP="00B42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заявлению прилагаю </w:t>
      </w:r>
      <w:r w:rsidR="00D80425"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32FAF"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окументы:</w:t>
      </w:r>
    </w:p>
    <w:p w:rsidR="00B4288D" w:rsidRPr="00B4288D" w:rsidRDefault="00B4288D" w:rsidP="00B42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4C7D8A" w:rsidRPr="00532FAF" w:rsidRDefault="008B01F2" w:rsidP="00532F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>01.09.2018</w:t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063035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ab/>
      </w:r>
      <w:r w:rsidR="00E40344" w:rsidRPr="00532FAF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>И.И. Иванов</w:t>
      </w:r>
    </w:p>
    <w:sectPr w:rsidR="004C7D8A" w:rsidRPr="00532FAF" w:rsidSect="00063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D76"/>
    <w:multiLevelType w:val="hybridMultilevel"/>
    <w:tmpl w:val="ECC264F2"/>
    <w:lvl w:ilvl="0" w:tplc="BA1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DC581C"/>
    <w:multiLevelType w:val="hybridMultilevel"/>
    <w:tmpl w:val="1F96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3035"/>
    <w:rsid w:val="00141B55"/>
    <w:rsid w:val="00145724"/>
    <w:rsid w:val="00247F00"/>
    <w:rsid w:val="00297F22"/>
    <w:rsid w:val="002B0F2C"/>
    <w:rsid w:val="002B409F"/>
    <w:rsid w:val="002D24D9"/>
    <w:rsid w:val="0031120B"/>
    <w:rsid w:val="003A4250"/>
    <w:rsid w:val="003C1451"/>
    <w:rsid w:val="004271F3"/>
    <w:rsid w:val="004758CF"/>
    <w:rsid w:val="004A5E9B"/>
    <w:rsid w:val="004B02D8"/>
    <w:rsid w:val="004C7D8A"/>
    <w:rsid w:val="00516157"/>
    <w:rsid w:val="00532FAF"/>
    <w:rsid w:val="00546598"/>
    <w:rsid w:val="005E2CB6"/>
    <w:rsid w:val="006159F0"/>
    <w:rsid w:val="007462CB"/>
    <w:rsid w:val="008000C3"/>
    <w:rsid w:val="008545A7"/>
    <w:rsid w:val="008B01F2"/>
    <w:rsid w:val="008B047D"/>
    <w:rsid w:val="00955535"/>
    <w:rsid w:val="00961815"/>
    <w:rsid w:val="00985F7F"/>
    <w:rsid w:val="009E40F4"/>
    <w:rsid w:val="00A41A55"/>
    <w:rsid w:val="00A45132"/>
    <w:rsid w:val="00A67CE0"/>
    <w:rsid w:val="00AD570C"/>
    <w:rsid w:val="00B264B9"/>
    <w:rsid w:val="00B4288D"/>
    <w:rsid w:val="00B4639C"/>
    <w:rsid w:val="00B77312"/>
    <w:rsid w:val="00BA20E9"/>
    <w:rsid w:val="00C95F6D"/>
    <w:rsid w:val="00CD1383"/>
    <w:rsid w:val="00D31615"/>
    <w:rsid w:val="00D61BD9"/>
    <w:rsid w:val="00D80425"/>
    <w:rsid w:val="00D95B21"/>
    <w:rsid w:val="00E14186"/>
    <w:rsid w:val="00E40344"/>
    <w:rsid w:val="00F63C87"/>
    <w:rsid w:val="00F73500"/>
    <w:rsid w:val="00F77C83"/>
    <w:rsid w:val="00FC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1E90-33CD-4791-92F7-592C3F2E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35</cp:revision>
  <cp:lastPrinted>2018-12-14T10:31:00Z</cp:lastPrinted>
  <dcterms:created xsi:type="dcterms:W3CDTF">2018-11-02T07:45:00Z</dcterms:created>
  <dcterms:modified xsi:type="dcterms:W3CDTF">2020-06-18T21:11:00Z</dcterms:modified>
</cp:coreProperties>
</file>