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, </w:t>
      </w:r>
      <w:proofErr w:type="spellStart"/>
      <w:r w:rsidR="00251446" w:rsidRPr="00CC75CA">
        <w:rPr>
          <w:rFonts w:cs="Times New Roman"/>
          <w:bCs/>
          <w:sz w:val="30"/>
          <w:szCs w:val="30"/>
        </w:rPr>
        <w:t>санкционн</w:t>
      </w:r>
      <w:r w:rsidR="00251446">
        <w:rPr>
          <w:rFonts w:cs="Times New Roman"/>
          <w:bCs/>
          <w:sz w:val="30"/>
          <w:szCs w:val="30"/>
        </w:rPr>
        <w:t>ая</w:t>
      </w:r>
      <w:proofErr w:type="spellEnd"/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 xml:space="preserve">. 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603D18">
        <w:rPr>
          <w:rFonts w:cs="Times New Roman"/>
          <w:b/>
          <w:bCs/>
          <w:i/>
          <w:szCs w:val="28"/>
        </w:rPr>
        <w:t>Справочно</w:t>
      </w:r>
      <w:proofErr w:type="spellEnd"/>
      <w:r w:rsidRPr="00603D18">
        <w:rPr>
          <w:rFonts w:cs="Times New Roman"/>
          <w:b/>
          <w:bCs/>
          <w:i/>
          <w:szCs w:val="28"/>
        </w:rPr>
        <w:t>:</w:t>
      </w:r>
    </w:p>
    <w:p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lastRenderedPageBreak/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 xml:space="preserve">По данным </w:t>
      </w:r>
      <w:proofErr w:type="spellStart"/>
      <w:r w:rsidRPr="008355B9">
        <w:rPr>
          <w:rFonts w:cs="Times New Roman"/>
          <w:bCs/>
          <w:i/>
          <w:szCs w:val="28"/>
        </w:rPr>
        <w:t>Гейдельбергского</w:t>
      </w:r>
      <w:proofErr w:type="spellEnd"/>
      <w:r w:rsidRPr="008355B9">
        <w:rPr>
          <w:rFonts w:cs="Times New Roman"/>
          <w:bCs/>
          <w:i/>
          <w:szCs w:val="28"/>
        </w:rPr>
        <w:t xml:space="preserve">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proofErr w:type="spellStart"/>
      <w:r w:rsidR="00396087" w:rsidRPr="00396087">
        <w:rPr>
          <w:rFonts w:cs="Times New Roman"/>
          <w:b/>
          <w:bCs/>
          <w:sz w:val="30"/>
          <w:szCs w:val="30"/>
        </w:rPr>
        <w:t>радикализация</w:t>
      </w:r>
      <w:proofErr w:type="spellEnd"/>
      <w:r w:rsidR="00396087" w:rsidRPr="00396087">
        <w:rPr>
          <w:rFonts w:cs="Times New Roman"/>
          <w:b/>
          <w:bCs/>
          <w:sz w:val="30"/>
          <w:szCs w:val="30"/>
        </w:rPr>
        <w:t xml:space="preserve">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736120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 xml:space="preserve">е и </w:t>
      </w:r>
      <w:proofErr w:type="spellStart"/>
      <w:r w:rsidRPr="00247DFA">
        <w:rPr>
          <w:rFonts w:cs="Times New Roman"/>
          <w:bCs/>
          <w:i/>
          <w:szCs w:val="28"/>
        </w:rPr>
        <w:t>антибелорусские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736120" w:rsidRPr="00247DFA">
        <w:rPr>
          <w:rFonts w:cs="Times New Roman"/>
          <w:bCs/>
          <w:i/>
          <w:szCs w:val="28"/>
        </w:rPr>
        <w:t xml:space="preserve">В </w:t>
      </w:r>
      <w:r w:rsidR="00736120" w:rsidRPr="00247DFA">
        <w:rPr>
          <w:rFonts w:cs="Times New Roman"/>
          <w:b/>
          <w:bCs/>
          <w:i/>
          <w:szCs w:val="28"/>
        </w:rPr>
        <w:t>Эстонии</w:t>
      </w:r>
      <w:r w:rsidR="00736120"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Pr="00247DFA">
        <w:rPr>
          <w:rFonts w:cs="Times New Roman"/>
          <w:bCs/>
          <w:i/>
          <w:szCs w:val="28"/>
        </w:rPr>
        <w:t xml:space="preserve">быстро </w:t>
      </w:r>
      <w:r w:rsidR="00736120"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Pr="00247DFA">
        <w:rPr>
          <w:rFonts w:cs="Times New Roman"/>
          <w:bCs/>
          <w:i/>
          <w:szCs w:val="28"/>
        </w:rPr>
        <w:t>Руководители</w:t>
      </w:r>
      <w:r w:rsidR="00736120"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</w:t>
      </w:r>
      <w:proofErr w:type="spellStart"/>
      <w:r w:rsidR="004E1C72">
        <w:rPr>
          <w:i/>
          <w:spacing w:val="-4"/>
          <w:szCs w:val="28"/>
        </w:rPr>
        <w:t>Ваффен</w:t>
      </w:r>
      <w:proofErr w:type="spellEnd"/>
      <w:r w:rsidR="004E1C72">
        <w:rPr>
          <w:i/>
          <w:spacing w:val="-4"/>
          <w:szCs w:val="28"/>
        </w:rPr>
        <w:t>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</w:t>
      </w:r>
      <w:r w:rsidR="00DB28B1" w:rsidRPr="00247DFA">
        <w:rPr>
          <w:rFonts w:cs="Times New Roman"/>
          <w:bCs/>
          <w:i/>
          <w:szCs w:val="28"/>
        </w:rPr>
        <w:lastRenderedPageBreak/>
        <w:t xml:space="preserve">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</w:t>
      </w:r>
      <w:proofErr w:type="spellStart"/>
      <w:r w:rsidRPr="00247DFA">
        <w:rPr>
          <w:i/>
          <w:spacing w:val="-4"/>
          <w:szCs w:val="28"/>
        </w:rPr>
        <w:t>Антакальнисском</w:t>
      </w:r>
      <w:proofErr w:type="spellEnd"/>
      <w:r w:rsidRPr="00247DFA">
        <w:rPr>
          <w:i/>
          <w:spacing w:val="-4"/>
          <w:szCs w:val="28"/>
        </w:rPr>
        <w:t xml:space="preserve"> кладбище в </w:t>
      </w:r>
      <w:proofErr w:type="spellStart"/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</w:t>
      </w:r>
      <w:proofErr w:type="spellEnd"/>
      <w:r w:rsidRPr="00247DFA">
        <w:rPr>
          <w:i/>
          <w:spacing w:val="-4"/>
          <w:szCs w:val="28"/>
        </w:rPr>
        <w:t xml:space="preserve"> был открыт памятник </w:t>
      </w:r>
      <w:proofErr w:type="spellStart"/>
      <w:r w:rsidRPr="00247DFA">
        <w:rPr>
          <w:i/>
          <w:spacing w:val="-4"/>
          <w:szCs w:val="28"/>
        </w:rPr>
        <w:t>А.Раманаускасу</w:t>
      </w:r>
      <w:proofErr w:type="spellEnd"/>
      <w:r w:rsidRPr="00247DFA">
        <w:rPr>
          <w:i/>
          <w:spacing w:val="-4"/>
          <w:szCs w:val="28"/>
        </w:rPr>
        <w:t>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</w:t>
      </w:r>
      <w:proofErr w:type="spellStart"/>
      <w:r w:rsidRPr="00247DFA">
        <w:rPr>
          <w:i/>
          <w:spacing w:val="-4"/>
          <w:szCs w:val="28"/>
        </w:rPr>
        <w:t>Г.Науседа</w:t>
      </w:r>
      <w:proofErr w:type="spellEnd"/>
      <w:r w:rsidRPr="00247DFA">
        <w:rPr>
          <w:i/>
          <w:spacing w:val="-4"/>
          <w:szCs w:val="28"/>
        </w:rPr>
        <w:t>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</w:t>
      </w:r>
      <w:proofErr w:type="spellStart"/>
      <w:r w:rsidRPr="00247DFA">
        <w:rPr>
          <w:rFonts w:cs="Times New Roman"/>
          <w:bCs/>
          <w:i/>
          <w:szCs w:val="28"/>
        </w:rPr>
        <w:t>Синимяэ</w:t>
      </w:r>
      <w:proofErr w:type="spellEnd"/>
      <w:r w:rsidRPr="00247DFA">
        <w:rPr>
          <w:rFonts w:cs="Times New Roman"/>
          <w:bCs/>
          <w:i/>
          <w:szCs w:val="28"/>
        </w:rPr>
        <w:t xml:space="preserve">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 xml:space="preserve">роклятых солдат», участники которых чтут память </w:t>
      </w:r>
      <w:proofErr w:type="spellStart"/>
      <w:r w:rsidR="00DB28B1" w:rsidRPr="00247DFA">
        <w:rPr>
          <w:rFonts w:cs="Times New Roman"/>
          <w:bCs/>
          <w:i/>
          <w:szCs w:val="28"/>
        </w:rPr>
        <w:t>Р.Райса</w:t>
      </w:r>
      <w:proofErr w:type="spellEnd"/>
      <w:r w:rsidR="00DB28B1" w:rsidRPr="00247DFA">
        <w:rPr>
          <w:rFonts w:cs="Times New Roman"/>
          <w:bCs/>
          <w:i/>
          <w:szCs w:val="28"/>
        </w:rPr>
        <w:t xml:space="preserve">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 xml:space="preserve">30 апреля 2020 г. в пражском районе </w:t>
      </w:r>
      <w:proofErr w:type="spellStart"/>
      <w:r w:rsidRPr="005162A1">
        <w:rPr>
          <w:rFonts w:cs="Times New Roman"/>
          <w:bCs/>
          <w:i/>
          <w:szCs w:val="28"/>
        </w:rPr>
        <w:t>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</w:t>
      </w:r>
      <w:proofErr w:type="spellEnd"/>
      <w:r w:rsidRPr="005162A1">
        <w:rPr>
          <w:rFonts w:cs="Times New Roman"/>
          <w:bCs/>
          <w:i/>
          <w:szCs w:val="28"/>
        </w:rPr>
        <w:t xml:space="preserve"> установлен памятник «</w:t>
      </w:r>
      <w:proofErr w:type="spellStart"/>
      <w:r w:rsidRPr="005162A1">
        <w:rPr>
          <w:rFonts w:cs="Times New Roman"/>
          <w:bCs/>
          <w:i/>
          <w:szCs w:val="28"/>
        </w:rPr>
        <w:t>власовцам</w:t>
      </w:r>
      <w:proofErr w:type="spellEnd"/>
      <w:r w:rsidRPr="005162A1">
        <w:rPr>
          <w:rFonts w:cs="Times New Roman"/>
          <w:bCs/>
          <w:i/>
          <w:szCs w:val="28"/>
        </w:rPr>
        <w:t>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</w:t>
      </w:r>
      <w:proofErr w:type="spellStart"/>
      <w:r w:rsidRPr="005162A1">
        <w:rPr>
          <w:rFonts w:cs="Times New Roman"/>
          <w:bCs/>
          <w:i/>
          <w:szCs w:val="28"/>
        </w:rPr>
        <w:t>г.Праге</w:t>
      </w:r>
      <w:proofErr w:type="spellEnd"/>
      <w:r w:rsidRPr="005162A1">
        <w:rPr>
          <w:rFonts w:cs="Times New Roman"/>
          <w:bCs/>
          <w:i/>
          <w:szCs w:val="28"/>
        </w:rPr>
        <w:t xml:space="preserve"> находится мемориал РОА, у которого регулярно проводятся памятные акции. Местом притяжения чешских неонацистов является восстановленный в 2011 году в </w:t>
      </w:r>
      <w:proofErr w:type="spellStart"/>
      <w:r w:rsidRPr="005162A1">
        <w:rPr>
          <w:rFonts w:cs="Times New Roman"/>
          <w:bCs/>
          <w:i/>
          <w:szCs w:val="28"/>
        </w:rPr>
        <w:t>н.п.Корженов</w:t>
      </w:r>
      <w:proofErr w:type="spellEnd"/>
      <w:r w:rsidRPr="005162A1">
        <w:rPr>
          <w:rFonts w:cs="Times New Roman"/>
          <w:bCs/>
          <w:i/>
          <w:szCs w:val="28"/>
        </w:rPr>
        <w:t xml:space="preserve"> (</w:t>
      </w:r>
      <w:proofErr w:type="spellStart"/>
      <w:r w:rsidRPr="005162A1">
        <w:rPr>
          <w:rFonts w:cs="Times New Roman"/>
          <w:bCs/>
          <w:i/>
          <w:szCs w:val="28"/>
        </w:rPr>
        <w:t>Либерецкий</w:t>
      </w:r>
      <w:proofErr w:type="spellEnd"/>
      <w:r w:rsidRPr="005162A1">
        <w:rPr>
          <w:rFonts w:cs="Times New Roman"/>
          <w:bCs/>
          <w:i/>
          <w:szCs w:val="28"/>
        </w:rPr>
        <w:t xml:space="preserve"> край) мемориал «Железный крест» в память о чешских добровольцах в рядах вермахта и «</w:t>
      </w:r>
      <w:proofErr w:type="spellStart"/>
      <w:r w:rsidRPr="005162A1">
        <w:rPr>
          <w:rFonts w:cs="Times New Roman"/>
          <w:bCs/>
          <w:i/>
          <w:szCs w:val="28"/>
        </w:rPr>
        <w:t>Ваффен</w:t>
      </w:r>
      <w:proofErr w:type="spellEnd"/>
      <w:r w:rsidRPr="005162A1">
        <w:rPr>
          <w:rFonts w:cs="Times New Roman"/>
          <w:bCs/>
          <w:i/>
          <w:szCs w:val="28"/>
        </w:rPr>
        <w:t xml:space="preserve">-СС». </w:t>
      </w:r>
    </w:p>
    <w:p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proofErr w:type="spellStart"/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</w:t>
      </w:r>
      <w:proofErr w:type="spellEnd"/>
      <w:r w:rsidRPr="005162A1">
        <w:rPr>
          <w:rFonts w:cs="Times New Roman"/>
          <w:bCs/>
          <w:i/>
          <w:szCs w:val="28"/>
        </w:rPr>
        <w:t xml:space="preserve">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</w:t>
      </w:r>
      <w:proofErr w:type="spellStart"/>
      <w:r w:rsidRPr="001A715D">
        <w:rPr>
          <w:rFonts w:cs="Times New Roman"/>
          <w:bCs/>
          <w:i/>
          <w:szCs w:val="28"/>
        </w:rPr>
        <w:t>санкционный</w:t>
      </w:r>
      <w:proofErr w:type="spellEnd"/>
      <w:r w:rsidRPr="001A715D">
        <w:rPr>
          <w:rFonts w:cs="Times New Roman"/>
          <w:bCs/>
          <w:i/>
          <w:szCs w:val="28"/>
        </w:rPr>
        <w:t xml:space="preserve">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 xml:space="preserve">, </w:t>
      </w:r>
      <w:proofErr w:type="spellStart"/>
      <w:r w:rsidR="000E7F4A">
        <w:rPr>
          <w:rFonts w:cs="Times New Roman"/>
          <w:bCs/>
          <w:i/>
          <w:szCs w:val="28"/>
        </w:rPr>
        <w:t>медийная</w:t>
      </w:r>
      <w:proofErr w:type="spellEnd"/>
      <w:r w:rsidR="000E7F4A">
        <w:rPr>
          <w:rFonts w:cs="Times New Roman"/>
          <w:bCs/>
          <w:i/>
          <w:szCs w:val="28"/>
        </w:rPr>
        <w:t xml:space="preserve">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lastRenderedPageBreak/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proofErr w:type="spellStart"/>
      <w:r w:rsidRPr="008640AD">
        <w:rPr>
          <w:b/>
          <w:bCs/>
          <w:i/>
        </w:rPr>
        <w:t>Справочно</w:t>
      </w:r>
      <w:proofErr w:type="spellEnd"/>
      <w:r w:rsidRPr="008640AD">
        <w:rPr>
          <w:b/>
          <w:bCs/>
          <w:i/>
        </w:rPr>
        <w:t>:</w:t>
      </w:r>
    </w:p>
    <w:p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lastRenderedPageBreak/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proofErr w:type="gramStart"/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</w:t>
      </w:r>
      <w:proofErr w:type="spellStart"/>
      <w:r w:rsidRPr="004D1E31">
        <w:rPr>
          <w:bCs/>
          <w:i/>
          <w:szCs w:val="28"/>
        </w:rPr>
        <w:t>видеохостинги</w:t>
      </w:r>
      <w:proofErr w:type="spellEnd"/>
      <w:r w:rsidRPr="004D1E31">
        <w:rPr>
          <w:bCs/>
          <w:i/>
          <w:szCs w:val="28"/>
        </w:rPr>
        <w:t xml:space="preserve">, </w:t>
      </w:r>
      <w:proofErr w:type="spellStart"/>
      <w:r w:rsidRPr="004D1E31">
        <w:rPr>
          <w:bCs/>
          <w:i/>
          <w:szCs w:val="28"/>
        </w:rPr>
        <w:t>мессенджеры</w:t>
      </w:r>
      <w:proofErr w:type="spellEnd"/>
      <w:r w:rsidRPr="004D1E31">
        <w:rPr>
          <w:bCs/>
          <w:i/>
          <w:szCs w:val="28"/>
        </w:rPr>
        <w:t>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</w:t>
      </w:r>
      <w:proofErr w:type="gramEnd"/>
      <w:r w:rsidRPr="00FE5DB9">
        <w:rPr>
          <w:bCs/>
          <w:sz w:val="30"/>
          <w:szCs w:val="30"/>
        </w:rPr>
        <w:t xml:space="preserve"> официальных аккаунтов в популярных социальных сетях.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proofErr w:type="spellStart"/>
      <w:r w:rsidRPr="00FE5DB9">
        <w:rPr>
          <w:b/>
          <w:bCs/>
          <w:sz w:val="30"/>
          <w:szCs w:val="30"/>
        </w:rPr>
        <w:t>цифровизация</w:t>
      </w:r>
      <w:proofErr w:type="spellEnd"/>
      <w:r w:rsidRPr="00FE5DB9">
        <w:rPr>
          <w:b/>
          <w:bCs/>
          <w:sz w:val="30"/>
          <w:szCs w:val="30"/>
        </w:rPr>
        <w:t xml:space="preserve">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</w:t>
      </w:r>
      <w:r w:rsidRPr="00FE5DB9">
        <w:rPr>
          <w:bCs/>
          <w:sz w:val="30"/>
          <w:szCs w:val="30"/>
        </w:rPr>
        <w:lastRenderedPageBreak/>
        <w:t>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="00CD69E7">
        <w:rPr>
          <w:b/>
          <w:bCs/>
          <w:sz w:val="30"/>
          <w:szCs w:val="30"/>
        </w:rPr>
        <w:t xml:space="preserve">. </w:t>
      </w:r>
      <w:r w:rsidRPr="00FE5DB9">
        <w:rPr>
          <w:sz w:val="30"/>
          <w:szCs w:val="30"/>
        </w:rPr>
        <w:t>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Выявлять, </w:t>
      </w:r>
      <w:proofErr w:type="spellStart"/>
      <w:r w:rsidRPr="00D91E99">
        <w:rPr>
          <w:bCs/>
          <w:iCs/>
          <w:sz w:val="30"/>
          <w:szCs w:val="30"/>
        </w:rPr>
        <w:t>профилактировать</w:t>
      </w:r>
      <w:proofErr w:type="spellEnd"/>
      <w:r w:rsidRPr="00D91E99">
        <w:rPr>
          <w:bCs/>
          <w:iCs/>
          <w:sz w:val="30"/>
          <w:szCs w:val="30"/>
        </w:rPr>
        <w:t xml:space="preserve">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>Дальнейшее поступательное развитие гражданского общества на основе традиционных основополагающих ценностей 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</w:t>
      </w:r>
      <w:r w:rsidRPr="008640AD">
        <w:rPr>
          <w:bCs/>
          <w:i/>
        </w:rPr>
        <w:lastRenderedPageBreak/>
        <w:t>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</w:p>
    <w:p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lastRenderedPageBreak/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</w:t>
      </w:r>
      <w:r w:rsidR="00FE08B8" w:rsidRPr="001E1883">
        <w:rPr>
          <w:rFonts w:eastAsia="Calibri" w:cs="Times New Roman"/>
          <w:bCs/>
          <w:sz w:val="30"/>
          <w:szCs w:val="30"/>
        </w:rPr>
        <w:lastRenderedPageBreak/>
        <w:t>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F4B83" w:rsidRPr="00A236CD" w:rsidRDefault="00141B70" w:rsidP="005F08B9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="Times New Roman"/>
          <w:bCs/>
          <w:i/>
          <w:szCs w:val="28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</w:t>
      </w:r>
      <w:proofErr w:type="gramStart"/>
      <w:r w:rsidR="00AF4B83" w:rsidRPr="00AF4B83">
        <w:rPr>
          <w:rFonts w:cs="Times New Roman"/>
          <w:b/>
          <w:bCs/>
          <w:sz w:val="30"/>
          <w:szCs w:val="30"/>
        </w:rPr>
        <w:t>бств дл</w:t>
      </w:r>
      <w:proofErr w:type="gramEnd"/>
      <w:r w:rsidR="00AF4B83" w:rsidRPr="00AF4B83">
        <w:rPr>
          <w:rFonts w:cs="Times New Roman"/>
          <w:b/>
          <w:bCs/>
          <w:sz w:val="30"/>
          <w:szCs w:val="30"/>
        </w:rPr>
        <w:t>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 xml:space="preserve">. 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0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0"/>
      <w:r>
        <w:rPr>
          <w:rFonts w:eastAsia="Calibri" w:cs="Times New Roman"/>
          <w:bCs/>
          <w:sz w:val="30"/>
          <w:szCs w:val="30"/>
        </w:rPr>
        <w:t>;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lastRenderedPageBreak/>
        <w:t>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</w:t>
      </w:r>
      <w:r w:rsidRPr="00754220">
        <w:rPr>
          <w:rFonts w:eastAsia="Calibri" w:cs="Times New Roman"/>
          <w:sz w:val="30"/>
          <w:szCs w:val="30"/>
        </w:rPr>
        <w:lastRenderedPageBreak/>
        <w:t xml:space="preserve">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</w:r>
      <w:r w:rsidRPr="00587E5C">
        <w:rPr>
          <w:rFonts w:eastAsia="Calibri" w:cs="Times New Roman"/>
          <w:b/>
          <w:i/>
          <w:szCs w:val="28"/>
        </w:rPr>
        <w:lastRenderedPageBreak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1" w:name="_GoBack"/>
      <w:bookmarkEnd w:id="1"/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63" w:rsidRDefault="00445763" w:rsidP="008D6350">
      <w:pPr>
        <w:spacing w:after="0" w:line="240" w:lineRule="auto"/>
      </w:pPr>
      <w:r>
        <w:separator/>
      </w:r>
    </w:p>
  </w:endnote>
  <w:endnote w:type="continuationSeparator" w:id="0">
    <w:p w:rsidR="00445763" w:rsidRDefault="00445763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63" w:rsidRDefault="00445763" w:rsidP="008D6350">
      <w:pPr>
        <w:spacing w:after="0" w:line="240" w:lineRule="auto"/>
      </w:pPr>
      <w:r>
        <w:separator/>
      </w:r>
    </w:p>
  </w:footnote>
  <w:footnote w:type="continuationSeparator" w:id="0">
    <w:p w:rsidR="00445763" w:rsidRDefault="00445763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25532"/>
      <w:docPartObj>
        <w:docPartGallery w:val="Page Numbers (Top of Page)"/>
        <w:docPartUnique/>
      </w:docPartObj>
    </w:sdtPr>
    <w:sdtEndPr/>
    <w:sdtContent>
      <w:p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3BE">
          <w:rPr>
            <w:noProof/>
          </w:rPr>
          <w:t>3</w:t>
        </w:r>
        <w:r>
          <w:fldChar w:fldCharType="end"/>
        </w:r>
      </w:p>
    </w:sdtContent>
  </w:sdt>
  <w:p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66CEE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53BE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55C9"/>
    <w:rsid w:val="003370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45763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22C78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08B9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B568C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D69E7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D5E3A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Seven</cp:lastModifiedBy>
  <cp:revision>2</cp:revision>
  <cp:lastPrinted>2023-11-21T06:35:00Z</cp:lastPrinted>
  <dcterms:created xsi:type="dcterms:W3CDTF">2023-12-18T14:19:00Z</dcterms:created>
  <dcterms:modified xsi:type="dcterms:W3CDTF">2023-12-18T14:19:00Z</dcterms:modified>
</cp:coreProperties>
</file>