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3D" w:rsidRPr="00D63CB7" w:rsidRDefault="0067243D" w:rsidP="006724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Гибкие системы оплаты труда</w:t>
      </w:r>
    </w:p>
    <w:p w:rsidR="00E256B5" w:rsidRPr="00D63CB7" w:rsidRDefault="00E256B5" w:rsidP="006724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Правильно выбранная система оплаты труда не только усиливает стимулирующую роль заработной платы и способствует выполнению поставленных перед организацией задач, её экономическому развитию, но и повышает мотивацию работников к высокопроизводительному труду.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Необходимость исключения излишнего регулирования труда, административного контроля за заработной платой со стороны государства была определена Директивой Президента от 31.12.2010 № 4 «О развитии предпринимательской инициативы и стимулировании деловой активности в Республике Беларусь».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С принятием Указа Президента Республики Беларусь от 10.05.2011 № 181 «О некоторых мерах по совершенствованию государственного регулирования в области оплаты труда», для организаций реального сектора экономики были сняты практически все административные барьеры и ограничения, наниматели коммерческих организаций получили широкие права и возможности в выборе гибких систем оплаты высокопроизводительного и эффективного труда, создана нормативная правовая база, способствующая: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- свободному выбору систем оплаты труда работников;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- обеспечению прозрачности и простоты начисления заработной платы;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- установлению уровня заработной платы в зависимости от вклада каждого конкретного работника (коллектива) в конечные результаты деятельности организации и в пределах имеющихся финансовых возможностей;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-повышению качества, инициативы, производительности и мотивации труда;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- привлечению и удержанию высококвалифицированных специалистов, а также улучшению инвестиционной привлекательности для иностранных инвесторов.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Следует отметить, что при выборе систем оплаты труда следует учитывать, что согласно ст. 63 Трудового кодекса Республики Беларусь (далее – ТК) каждая коммерческая организация разрабатывает самостоятельно локальный </w:t>
      </w:r>
      <w:r w:rsidR="00DE31F2">
        <w:rPr>
          <w:rFonts w:ascii="Times New Roman" w:eastAsia="Times New Roman" w:hAnsi="Times New Roman"/>
          <w:sz w:val="26"/>
          <w:szCs w:val="26"/>
          <w:lang w:eastAsia="ru-RU"/>
        </w:rPr>
        <w:t>правовой акт (Л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ПА), который и регулирует порядок и условия оплаты труда, применение форм и систем оплаты труда для различных категорий работников организации, в т.ч. определяет порядок формирования сдельных расценок.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Таким ЛПА, как правило, является коллективный договор, составная часть которого – положение об оплате труда. Вместе с тем положение об оплате труда может я</w:t>
      </w:r>
      <w:r w:rsidR="00DE31F2">
        <w:rPr>
          <w:rFonts w:ascii="Times New Roman" w:eastAsia="Times New Roman" w:hAnsi="Times New Roman"/>
          <w:sz w:val="26"/>
          <w:szCs w:val="26"/>
          <w:lang w:eastAsia="ru-RU"/>
        </w:rPr>
        <w:t>вляться также самостоятельным Л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ПА (утвержденным руководителем по согласованию с профсоюзным комитетом), действие которого распространяется на всех работников организации.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положении об оплате  труда определяется состав заработной платы работников организации и порядок ее формирования, а также формы и системы оплаты труда работников (например, повременно-премиальная на основе тарифной сетки, сдельно-премиальная, комиссионная, система оплаты труда по 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грейдам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, индивидуальные условия оплаты труда и т.д.).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В одной организации можно применять две и более системы оплаты труда применительно к различным категориям работников.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Независимо от системы оплаты труда, действующей в организации, необходимо руководствоваться ст. 61 ТК, в соответствии с которой оплата труда работников организации производится </w:t>
      </w:r>
      <w:r w:rsidR="00D63CB7" w:rsidRPr="00D63CB7">
        <w:rPr>
          <w:rFonts w:ascii="Times New Roman" w:hAnsi="Times New Roman"/>
          <w:sz w:val="25"/>
          <w:szCs w:val="25"/>
        </w:rPr>
        <w:t xml:space="preserve">на основе </w:t>
      </w:r>
      <w:r w:rsidR="00D63CB7" w:rsidRPr="00F04B03">
        <w:rPr>
          <w:rFonts w:ascii="Times New Roman" w:hAnsi="Times New Roman"/>
          <w:sz w:val="25"/>
          <w:szCs w:val="25"/>
        </w:rPr>
        <w:t>тарифных ставок</w:t>
      </w:r>
      <w:r w:rsidR="00D63CB7" w:rsidRPr="00D63CB7">
        <w:rPr>
          <w:rFonts w:ascii="Times New Roman" w:hAnsi="Times New Roman"/>
          <w:sz w:val="25"/>
          <w:szCs w:val="25"/>
        </w:rPr>
        <w:t xml:space="preserve"> (тарифных окладов), определяемых коллективным договором, соглашением или нанимателем.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норм ст. 61 ТК применение любых гибких систем оплаты труда в обязательном порядке требует определения тарифной части заработной платы работников (тарифных ставок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</w:t>
      </w:r>
      <w:r w:rsidR="00D63CB7"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тарифных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окладов) работников). Это могут быть такие термины, как «тарифные ставки»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 и «ставки» для профессий рабочих,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D63CB7"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тарифные 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оклады» и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«оклад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должностей служащих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и т.д.</w:t>
      </w:r>
    </w:p>
    <w:p w:rsidR="0067243D" w:rsidRDefault="0000464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Следует отметить, что</w:t>
      </w:r>
      <w:r w:rsidR="009B1707">
        <w:rPr>
          <w:rFonts w:ascii="Times New Roman" w:eastAsia="Times New Roman" w:hAnsi="Times New Roman"/>
          <w:sz w:val="26"/>
          <w:szCs w:val="26"/>
          <w:lang w:eastAsia="ru-RU"/>
        </w:rPr>
        <w:t xml:space="preserve"> 27.01.2020 утратили силу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243D" w:rsidRPr="00D63CB7">
        <w:rPr>
          <w:rFonts w:ascii="Times New Roman" w:eastAsia="Times New Roman" w:hAnsi="Times New Roman"/>
          <w:sz w:val="26"/>
          <w:szCs w:val="26"/>
          <w:lang w:eastAsia="ru-RU"/>
        </w:rPr>
        <w:t>Рекомендации по применению гибких систем оплаты труда в коммерческих организациях (далее – Рекомендации № 104), утвержденные постановлением Министерства труда и социальной защиты Республи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ки Беларусь от 21.10.2011 № 104, </w:t>
      </w:r>
      <w:r w:rsidR="009B1707" w:rsidRPr="00D63CB7">
        <w:rPr>
          <w:rFonts w:ascii="Times New Roman" w:eastAsia="Times New Roman" w:hAnsi="Times New Roman"/>
          <w:sz w:val="26"/>
          <w:szCs w:val="26"/>
          <w:lang w:eastAsia="ru-RU"/>
        </w:rPr>
        <w:t>Рекомендации по определению тарифных ставок (окладов) работников коммерческих организаций и о порядке их повышения, утвержденные</w:t>
      </w:r>
      <w:r w:rsidR="009B17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243D" w:rsidRPr="00D63CB7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Министерства труда и социальной защиты Республ</w:t>
      </w:r>
      <w:r w:rsidR="009B1707">
        <w:rPr>
          <w:rFonts w:ascii="Times New Roman" w:eastAsia="Times New Roman" w:hAnsi="Times New Roman"/>
          <w:sz w:val="26"/>
          <w:szCs w:val="26"/>
          <w:lang w:eastAsia="ru-RU"/>
        </w:rPr>
        <w:t>ики Беларусь от 11.07.2011 № 67.</w:t>
      </w:r>
    </w:p>
    <w:p w:rsidR="00155137" w:rsidRPr="00D63CB7" w:rsidRDefault="00155137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243D" w:rsidRPr="00D63CB7" w:rsidRDefault="009B1707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7243D"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Применение тарифной сетки.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Применение в оплате труда тарифной сетки предполагает, что в положении об оплате труда наниматель установит тарифные разряды и соответствующие им тарифные коэффициенты.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Возрастание тарифных коэффициентов (в одинаковых или различных 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межразрядных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соотношениях), в 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. и для рабочих, устанавливается таким образом, чтобы обеспечить необходимую дифференциацию размеров оплаты труда работников.</w:t>
      </w:r>
    </w:p>
    <w:p w:rsidR="0067243D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Тарифные ставки (</w:t>
      </w:r>
      <w:r w:rsidR="009B170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тарифные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оклады) работников рассчитываются исходя из установленных тарифных коэффициентов и установленного размера тарифной ставки 1 разряда, действующей в организации.</w:t>
      </w:r>
    </w:p>
    <w:p w:rsidR="009B1707" w:rsidRPr="00D63CB7" w:rsidRDefault="009B1707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243D" w:rsidRPr="00D63CB7" w:rsidRDefault="009B1707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67243D"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Комиссионная система оплаты труда.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Данная форма предполагает множество разновидностей оплаты труда. Например, она может быть полностью основана на комиссионных процентах или строится по принципу «оклад плюс проценты», т.е. сочетать фиксированную ежемесячную заработную плату с комиссионным вознаграждением.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Наряду с этим выплачиваемое комиссионное вознаграждение может быть установлено в виде фиксированного процента от продаж, а также и прогрессивной шкалы.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Другой разновидностью оплаты труда на комиссионной основе является оплата в виде процента от суммы платежей, поступающих организации от заказчика в результате выполнения работником своих трудовых обязанностей. Помимо указанных выплат работник также может получать различные виды вознаграждений за перевыполнение нормы продажи товаров и т.д.  При комиссионной системе условия оплаты труда должны определять в т.ч. гарантийный минимум оплаты труда.</w:t>
      </w:r>
    </w:p>
    <w:p w:rsidR="007C6DAB" w:rsidRDefault="007C6DAB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7243D" w:rsidRPr="00D63CB7" w:rsidRDefault="00EF6FE7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67243D"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Оплата труда на основе «плавающих» окладов.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Система «плавающих» окладов предусматривает установление нанимателем размеров тарифных ставок (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тарифных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окладов) в текущем месяце по итогам работы за предыдущий месяц с учетом личного вклада каждого работника в результате деятельности предприятия.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При введении системы «плавающих» окладов необходимо установить размеры тарифных ставок (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тарифных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окладов) на основании конкретных критериев, а также порядок, в котором наниматель будет принимать решение об изменении размера тарифной ставки (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тарифного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оклада).</w:t>
      </w:r>
    </w:p>
    <w:p w:rsidR="0067243D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При изменении размеров тарифных ставок (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тарифных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окладов) в случае применения системы «плавающих» окладов</w:t>
      </w:r>
      <w:r w:rsidR="00EF6FE7">
        <w:rPr>
          <w:rFonts w:ascii="Times New Roman" w:eastAsia="Times New Roman" w:hAnsi="Times New Roman"/>
          <w:sz w:val="26"/>
          <w:szCs w:val="26"/>
          <w:lang w:eastAsia="ru-RU"/>
        </w:rPr>
        <w:t xml:space="preserve"> (ставок)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наниматель обязан утвердить новое штатное расписан</w:t>
      </w:r>
      <w:r w:rsidR="00EE5BDB">
        <w:rPr>
          <w:rFonts w:ascii="Times New Roman" w:eastAsia="Times New Roman" w:hAnsi="Times New Roman"/>
          <w:sz w:val="26"/>
          <w:szCs w:val="26"/>
          <w:lang w:eastAsia="ru-RU"/>
        </w:rPr>
        <w:t xml:space="preserve">ие. Например, при выполнении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нормированного задания в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размере 61-83% работник получает оклад, в размере 81-100% - 1,1 оклада, более 100% - 1,2 оклада.</w:t>
      </w:r>
    </w:p>
    <w:p w:rsidR="00EE5BDB" w:rsidRPr="00D63CB7" w:rsidRDefault="00EE5BDB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243D" w:rsidRPr="00D63CB7" w:rsidRDefault="00EE5BDB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67243D"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Оплата труда на основе </w:t>
      </w:r>
      <w:proofErr w:type="spellStart"/>
      <w:r w:rsidR="0067243D"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грейдов</w:t>
      </w:r>
      <w:proofErr w:type="spellEnd"/>
      <w:r w:rsidR="0067243D" w:rsidRPr="00D63C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Система 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грейдов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строится на распределении профессий </w:t>
      </w:r>
      <w:r w:rsidR="00EE5BDB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и должностей </w:t>
      </w:r>
      <w:r w:rsidR="00EE5BDB">
        <w:rPr>
          <w:rFonts w:ascii="Times New Roman" w:eastAsia="Times New Roman" w:hAnsi="Times New Roman"/>
          <w:sz w:val="26"/>
          <w:szCs w:val="26"/>
          <w:lang w:eastAsia="ru-RU"/>
        </w:rPr>
        <w:t xml:space="preserve">служащих 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организации по соответствующим группам (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грейдам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), каждая из которых характеризуется определенным уровнем оценок (например, в баллах). Как правило, такая система применяется для работников интеллектуального труда, результаты которого измеряются не количественными критериями.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таком способе формирования заработной платы оценивается не сам работник, занимающий ту или иную должность, а вес и ценность собственно должности независимо от того, кто ее занимает. В качестве критериев для построения системы 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грейдов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используются исходные требования (знания, умения), результативность (сложность), ответственность и др.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Сутью системы оплаты труда по системе 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грейдов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то, что на основании должностной</w:t>
      </w:r>
      <w:r w:rsidR="00EE5BDB">
        <w:rPr>
          <w:rFonts w:ascii="Times New Roman" w:eastAsia="Times New Roman" w:hAnsi="Times New Roman"/>
          <w:sz w:val="26"/>
          <w:szCs w:val="26"/>
          <w:lang w:eastAsia="ru-RU"/>
        </w:rPr>
        <w:t xml:space="preserve"> (рабочей)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инструкции по определенной шкале оцениваются необходимые для данного работника компетентность, квалификация, мера ответственности, результативность труда, решение проблем и другие критерии.</w:t>
      </w:r>
    </w:p>
    <w:p w:rsidR="0067243D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Конечной целью оценки должностей является установление диапазона окладов</w:t>
      </w:r>
      <w:r w:rsidR="00EE5BDB">
        <w:rPr>
          <w:rFonts w:ascii="Times New Roman" w:eastAsia="Times New Roman" w:hAnsi="Times New Roman"/>
          <w:sz w:val="26"/>
          <w:szCs w:val="26"/>
          <w:lang w:eastAsia="ru-RU"/>
        </w:rPr>
        <w:t xml:space="preserve"> (ставок)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группам работников (</w:t>
      </w:r>
      <w:proofErr w:type="spellStart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грейдам</w:t>
      </w:r>
      <w:proofErr w:type="spellEnd"/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EE5BDB" w:rsidRPr="00D63CB7" w:rsidRDefault="00EE5BDB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Помимо тарифной части заработной пла</w:t>
      </w:r>
      <w:r w:rsidR="00EE5BDB">
        <w:rPr>
          <w:rFonts w:ascii="Times New Roman" w:eastAsia="Times New Roman" w:hAnsi="Times New Roman"/>
          <w:sz w:val="26"/>
          <w:szCs w:val="26"/>
          <w:lang w:eastAsia="ru-RU"/>
        </w:rPr>
        <w:t>ты наниматель в Л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ПА устанавливает конкретный размер надбавок и доплат, а также стимулирующих и компенсирующих выплат. Таких как: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надбавка за сложность и напряженность труда, за высокие достижения в труде;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надбавка за выполнение особо важных (срочных) работ;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надбавка рабочим за профессиональное мастерство (надбавка за квалификационные классы (классность)));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надбавка за продолжительность непрерывной работы (стаж работы, выслугу лет);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доплата за руководство бригадой;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доплата за совмещение профессий (должностей), расширение зоны обслуживания (увеличение объема выполняемых работ), выполнение обязанностей временно отсутствующего работника (ст.67 ТК);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доплата за работу в ночное время или ночную смену при сменном режиме работы;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оплата за работу в сверхурочное время;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оплата за работу в государственные праздники, праздничные и выходные дни;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доплата за разделение рабочего дня на отдельные части;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доплата за ученые степени и звания;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надбавки за владение иностранными языками;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премии.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В положении об оплате труда целесообразно установить минимальные гарантии по оплате труда в размере не ниже предусмотренных законодательством.</w:t>
      </w:r>
    </w:p>
    <w:p w:rsidR="0067243D" w:rsidRPr="00D63CB7" w:rsidRDefault="0067243D" w:rsidP="001551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>Обращаем внимание, что с 1 сентября 2013 г</w:t>
      </w:r>
      <w:r w:rsidR="007F34C2">
        <w:rPr>
          <w:rFonts w:ascii="Times New Roman" w:eastAsia="Times New Roman" w:hAnsi="Times New Roman"/>
          <w:sz w:val="26"/>
          <w:szCs w:val="26"/>
          <w:lang w:eastAsia="ru-RU"/>
        </w:rPr>
        <w:t>. действует</w:t>
      </w:r>
      <w:r w:rsidRPr="00D63CB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 Совета Министров Республики Беларусь от 08.07.2013 г. № 597 «О совершенствовании условий оплаты труда руководителей коммерческих организаций в зависимости от результатов финансово-хозяйственной деятельности, признании утратившими силу некоторых постановлений Совета Министров Республики Беларусь и их отдельных структурных элементов».</w:t>
      </w:r>
    </w:p>
    <w:p w:rsidR="00FA211F" w:rsidRPr="00D63CB7" w:rsidRDefault="00FA211F" w:rsidP="00155137">
      <w:pPr>
        <w:ind w:firstLine="567"/>
      </w:pPr>
    </w:p>
    <w:sectPr w:rsidR="00FA211F" w:rsidRPr="00D63CB7" w:rsidSect="00155137">
      <w:pgSz w:w="11906" w:h="16838"/>
      <w:pgMar w:top="1077" w:right="45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3D"/>
    <w:rsid w:val="0000464D"/>
    <w:rsid w:val="00155137"/>
    <w:rsid w:val="006242EE"/>
    <w:rsid w:val="0067243D"/>
    <w:rsid w:val="006A6435"/>
    <w:rsid w:val="007C6DAB"/>
    <w:rsid w:val="007F34C2"/>
    <w:rsid w:val="008A7CCB"/>
    <w:rsid w:val="009B1707"/>
    <w:rsid w:val="00B9092C"/>
    <w:rsid w:val="00CE74EE"/>
    <w:rsid w:val="00D63CB7"/>
    <w:rsid w:val="00DE31F2"/>
    <w:rsid w:val="00E256B5"/>
    <w:rsid w:val="00EE5BDB"/>
    <w:rsid w:val="00EF6FE7"/>
    <w:rsid w:val="00F04B03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20D2-A46D-4A1C-A4FB-F2648936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2020-07-20T12:52:00Z</cp:lastPrinted>
  <dcterms:created xsi:type="dcterms:W3CDTF">2020-07-20T12:24:00Z</dcterms:created>
  <dcterms:modified xsi:type="dcterms:W3CDTF">2021-01-25T10:23:00Z</dcterms:modified>
</cp:coreProperties>
</file>