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DFD" w:rsidRDefault="00293DFD">
      <w:pPr>
        <w:pStyle w:val="nonumheader"/>
      </w:pPr>
      <w:r>
        <w:t>АЛГОРИТМ ВРЕМЕННОГО ПЕРЕВОДА ПО П. 3 Ч. 1 СТ. 32</w:t>
      </w:r>
      <w:r>
        <w:rPr>
          <w:vertAlign w:val="superscript"/>
        </w:rPr>
        <w:t>1</w:t>
      </w:r>
      <w:r>
        <w:t xml:space="preserve"> ТК (С 28.01.2020)</w:t>
      </w:r>
    </w:p>
    <w:p w:rsidR="00293DFD" w:rsidRDefault="00293DFD">
      <w:pPr>
        <w:pStyle w:val="newncpi0"/>
      </w:pPr>
      <w:r>
        <w:rPr>
          <w:b/>
          <w:bCs/>
        </w:rPr>
        <w:t>ШЕВЦОВ А.Д.,</w:t>
      </w:r>
    </w:p>
    <w:p w:rsidR="00293DFD" w:rsidRDefault="00293DFD">
      <w:pPr>
        <w:pStyle w:val="newncpi0"/>
      </w:pPr>
      <w:proofErr w:type="gramStart"/>
      <w:r>
        <w:t>юрист</w:t>
      </w:r>
      <w:proofErr w:type="gramEnd"/>
    </w:p>
    <w:p w:rsidR="00293DFD" w:rsidRDefault="00293DFD">
      <w:pPr>
        <w:pStyle w:val="newncpi"/>
      </w:pPr>
      <w:r>
        <w:t> </w:t>
      </w:r>
    </w:p>
    <w:tbl>
      <w:tblPr>
        <w:tblW w:w="5000" w:type="pct"/>
        <w:tblCellMar>
          <w:left w:w="0" w:type="dxa"/>
          <w:right w:w="0" w:type="dxa"/>
        </w:tblCellMar>
        <w:tblLook w:val="04A0" w:firstRow="1" w:lastRow="0" w:firstColumn="1" w:lastColumn="0" w:noHBand="0" w:noVBand="1"/>
      </w:tblPr>
      <w:tblGrid>
        <w:gridCol w:w="5820"/>
        <w:gridCol w:w="3537"/>
      </w:tblGrid>
      <w:tr w:rsidR="00293DFD">
        <w:tc>
          <w:tcPr>
            <w:tcW w:w="3110" w:type="pct"/>
            <w:tcMar>
              <w:top w:w="0" w:type="dxa"/>
              <w:left w:w="6" w:type="dxa"/>
              <w:bottom w:w="0" w:type="dxa"/>
              <w:right w:w="6" w:type="dxa"/>
            </w:tcMar>
            <w:vAlign w:val="bottom"/>
            <w:hideMark/>
          </w:tcPr>
          <w:p w:rsidR="00293DFD" w:rsidRDefault="00293DFD">
            <w:pPr>
              <w:pStyle w:val="newncpi0"/>
              <w:jc w:val="left"/>
            </w:pPr>
            <w:r>
              <w:t> </w:t>
            </w:r>
          </w:p>
        </w:tc>
        <w:tc>
          <w:tcPr>
            <w:tcW w:w="1890" w:type="pct"/>
            <w:tcMar>
              <w:top w:w="0" w:type="dxa"/>
              <w:left w:w="6" w:type="dxa"/>
              <w:bottom w:w="0" w:type="dxa"/>
              <w:right w:w="6" w:type="dxa"/>
            </w:tcMar>
            <w:vAlign w:val="bottom"/>
            <w:hideMark/>
          </w:tcPr>
          <w:p w:rsidR="00293DFD" w:rsidRDefault="00293DFD">
            <w:pPr>
              <w:pStyle w:val="newncpi0"/>
              <w:jc w:val="left"/>
            </w:pPr>
            <w:r>
              <w:t xml:space="preserve">Материал подготовлен </w:t>
            </w:r>
            <w:r>
              <w:br/>
              <w:t xml:space="preserve">с использованием нормативных </w:t>
            </w:r>
            <w:r>
              <w:br/>
              <w:t xml:space="preserve">правовых актов по состоянию </w:t>
            </w:r>
            <w:r>
              <w:br/>
              <w:t>на 23 марта 2020 г.</w:t>
            </w:r>
          </w:p>
        </w:tc>
      </w:tr>
    </w:tbl>
    <w:p w:rsidR="00293DFD" w:rsidRDefault="00293DFD">
      <w:pPr>
        <w:pStyle w:val="newncpi"/>
      </w:pPr>
      <w:r>
        <w:t> </w:t>
      </w:r>
    </w:p>
    <w:p w:rsidR="00293DFD" w:rsidRDefault="00293DFD">
      <w:pPr>
        <w:pStyle w:val="newncpi"/>
      </w:pPr>
      <w:r>
        <w:t>С 28 января 2020 г. вступили в силу изменения, внесенные в Трудовой кодекс Республики Беларусь (далее – ТК) Законом Республики Беларусь от 18.07.2019 № 219-З «Об изменении законов». В частности, ТК дополнен новой ст. 32</w:t>
      </w:r>
      <w:r>
        <w:rPr>
          <w:vertAlign w:val="superscript"/>
        </w:rPr>
        <w:t>1</w:t>
      </w:r>
      <w:r>
        <w:t>, объединившей случаи временного перевода работника.</w:t>
      </w:r>
    </w:p>
    <w:p w:rsidR="00293DFD" w:rsidRDefault="00293DFD">
      <w:pPr>
        <w:pStyle w:val="newncpi"/>
      </w:pPr>
      <w:r>
        <w:t>В рамках настоящей статьи рассматривается алгоритм действий нанимателя при временном переводе работника на другую работу в случае простоя (п. 3 ч. 1 ст. 32</w:t>
      </w:r>
      <w:r>
        <w:rPr>
          <w:vertAlign w:val="superscript"/>
        </w:rPr>
        <w:t>1</w:t>
      </w:r>
      <w:r>
        <w:t xml:space="preserve"> ТК), приводятся примеры необходимых документов.</w:t>
      </w:r>
    </w:p>
    <w:p w:rsidR="00293DFD" w:rsidRDefault="00293DFD">
      <w:pPr>
        <w:pStyle w:val="nonumheader"/>
      </w:pPr>
      <w:r>
        <w:t>Понятие простоя</w:t>
      </w:r>
    </w:p>
    <w:p w:rsidR="00293DFD" w:rsidRDefault="00293DFD">
      <w:pPr>
        <w:pStyle w:val="newncpi"/>
      </w:pPr>
      <w:r>
        <w:t>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(ч. 1 ст. 34 ТК). При этом общая продолжительность простоев не может превышать суммарно шести месяцев в течение календарного года.</w:t>
      </w:r>
    </w:p>
    <w:p w:rsidR="00293DFD" w:rsidRDefault="00293DFD">
      <w:pPr>
        <w:pStyle w:val="newncpi"/>
      </w:pPr>
      <w:r>
        <w:t>Также под простоем понимается приостановка работы на рабочем месте, участке, в цехе, в организации в связи с отсутствием сырья, материалов, инструментов, электрической и тепловой энергии, поломкой оборудования, возникшими как по вине работника, так и без его вины (ч. 2 п. 8 Инструкции о порядке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утвержденной постановлением Министерства труда и социальной защиты Республики Беларусь от 14.07.2005 № 86 «Об утверждении Инструкции о порядке применения списков производств, работ, профессий, должностей и показателей, дающих право на пенсию по возрасту за работу с особыми условиями труда, утвержденных постановлением Совета Министров Республики Беларусь от 25 мая 2005 г. № 536» (далее – Инструкция о порядке применения списков работ, дающих право на пенсию по возрасту за работу с особыми условиями труда)).</w:t>
      </w:r>
    </w:p>
    <w:p w:rsidR="00293DFD" w:rsidRDefault="00293DFD">
      <w:pPr>
        <w:pStyle w:val="newncpi"/>
      </w:pPr>
      <w:r>
        <w:t>Простой может быть:</w:t>
      </w:r>
    </w:p>
    <w:p w:rsidR="00293DFD" w:rsidRDefault="00293DFD">
      <w:pPr>
        <w:pStyle w:val="newncpi"/>
      </w:pPr>
      <w:r>
        <w:t>– целодневным;</w:t>
      </w:r>
    </w:p>
    <w:p w:rsidR="00293DFD" w:rsidRDefault="00293DFD">
      <w:pPr>
        <w:pStyle w:val="newncpi"/>
      </w:pPr>
      <w:r>
        <w:t>– внутрисменным.</w:t>
      </w:r>
    </w:p>
    <w:p w:rsidR="00293DFD" w:rsidRDefault="00293DFD">
      <w:pPr>
        <w:pStyle w:val="newncpi"/>
      </w:pPr>
      <w:r>
        <w:t>Возникать простои могут:</w:t>
      </w:r>
    </w:p>
    <w:p w:rsidR="00293DFD" w:rsidRDefault="00293DFD">
      <w:pPr>
        <w:pStyle w:val="newncpi"/>
      </w:pPr>
      <w:r>
        <w:t>– по внутренним причинам (несвоевременный или недоброкачественный ремонт оборудования, несвоевременная подача сырья и материалов, отсутствие необходимых приспособлений);</w:t>
      </w:r>
    </w:p>
    <w:p w:rsidR="00293DFD" w:rsidRDefault="00293DFD">
      <w:pPr>
        <w:pStyle w:val="newncpi"/>
      </w:pPr>
      <w:r>
        <w:t>– по внешним причинам (</w:t>
      </w:r>
      <w:proofErr w:type="spellStart"/>
      <w:r>
        <w:t>непоступление</w:t>
      </w:r>
      <w:proofErr w:type="spellEnd"/>
      <w:r>
        <w:t xml:space="preserve"> от поставщиков материалов, топлива, энергии и т.п.).</w:t>
      </w:r>
    </w:p>
    <w:p w:rsidR="00293DFD" w:rsidRDefault="00293DFD">
      <w:pPr>
        <w:pStyle w:val="newncpi"/>
      </w:pPr>
      <w:r>
        <w:t>Документами для учета простоев могут служить (ч. 4 п. 8 Инструкции о порядке применения списков работ, дающих право на пенсию по возрасту за работу с особыми условиями труда):</w:t>
      </w:r>
    </w:p>
    <w:p w:rsidR="00293DFD" w:rsidRDefault="00293DFD">
      <w:pPr>
        <w:pStyle w:val="newncpi"/>
      </w:pPr>
      <w:r>
        <w:t>– табели использования рабочего времени;</w:t>
      </w:r>
    </w:p>
    <w:p w:rsidR="00293DFD" w:rsidRDefault="00293DFD">
      <w:pPr>
        <w:pStyle w:val="newncpi"/>
      </w:pPr>
      <w:r>
        <w:t>– листок оплаты простоя;</w:t>
      </w:r>
    </w:p>
    <w:p w:rsidR="00293DFD" w:rsidRDefault="00293DFD">
      <w:pPr>
        <w:pStyle w:val="newncpi"/>
      </w:pPr>
      <w:r>
        <w:t>– ведомости на выплату</w:t>
      </w:r>
      <w:bookmarkStart w:id="0" w:name="_GoBack"/>
      <w:bookmarkEnd w:id="0"/>
      <w:r>
        <w:t xml:space="preserve"> заработной платы;</w:t>
      </w:r>
    </w:p>
    <w:p w:rsidR="00293DFD" w:rsidRDefault="00293DFD">
      <w:pPr>
        <w:pStyle w:val="newncpi"/>
      </w:pPr>
      <w:r>
        <w:lastRenderedPageBreak/>
        <w:t>– другие документы, содержащие необходимые сведения.</w:t>
      </w:r>
    </w:p>
    <w:p w:rsidR="00293DFD" w:rsidRDefault="00293DFD">
      <w:pPr>
        <w:pStyle w:val="titlep"/>
      </w:pPr>
      <w:r>
        <w:t>Особенности временного перевода работника на другую работу у того же нанимателя в случае простоя</w:t>
      </w:r>
    </w:p>
    <w:p w:rsidR="00293DFD" w:rsidRDefault="00293DFD">
      <w:pPr>
        <w:pStyle w:val="newncpi"/>
      </w:pPr>
      <w:r>
        <w:t>Трудовое законодательство устанавливает следующие особенности временного перевода работника на другую работу у того же нанимателя в случае простоя (п. 3 ч. 1 ст. 32</w:t>
      </w:r>
      <w:r>
        <w:rPr>
          <w:vertAlign w:val="superscript"/>
        </w:rPr>
        <w:t>1</w:t>
      </w:r>
      <w:r>
        <w:t xml:space="preserve"> ТК):</w:t>
      </w:r>
    </w:p>
    <w:p w:rsidR="00293DFD" w:rsidRDefault="00293DFD">
      <w:pPr>
        <w:pStyle w:val="newncpi"/>
      </w:pPr>
      <w:r>
        <w:t>– временный перевод в случае простоя должен производиться с учетом квалификации, должности служащего (профессии рабочего) работника на все время простоя у того же нанимателя (ч. 2 ст. 34 ТК);</w:t>
      </w:r>
    </w:p>
    <w:p w:rsidR="00293DFD" w:rsidRDefault="00293DFD">
      <w:pPr>
        <w:pStyle w:val="newncpi"/>
      </w:pPr>
      <w:r>
        <w:t>– общая продолжительность простоев не может превышать суммарно шести месяцев в течение календарного года (ч. 1 ст. 34 ТК);</w:t>
      </w:r>
    </w:p>
    <w:p w:rsidR="00293DFD" w:rsidRDefault="00293DFD">
      <w:pPr>
        <w:pStyle w:val="newncpi"/>
      </w:pPr>
      <w:r>
        <w:t>– временный перевод в случае простоя производится на основании приказа (распоряжения) нанимателя о временном переводе (ч. 2 ст. 32</w:t>
      </w:r>
      <w:r>
        <w:rPr>
          <w:vertAlign w:val="superscript"/>
        </w:rPr>
        <w:t>1</w:t>
      </w:r>
      <w:r>
        <w:t xml:space="preserve"> ТК);</w:t>
      </w:r>
    </w:p>
    <w:p w:rsidR="00293DFD" w:rsidRDefault="00293DFD">
      <w:pPr>
        <w:pStyle w:val="newncpi"/>
      </w:pPr>
      <w:r>
        <w:t>– действие трудового договора продолжается, другой трудовой договор с работником не заключается, если иное не предусмотрено ТК (ч. 3 ст. 32</w:t>
      </w:r>
      <w:r>
        <w:rPr>
          <w:vertAlign w:val="superscript"/>
        </w:rPr>
        <w:t>1</w:t>
      </w:r>
      <w:r>
        <w:t xml:space="preserve"> ТК);</w:t>
      </w:r>
    </w:p>
    <w:p w:rsidR="00293DFD" w:rsidRDefault="00293DFD">
      <w:pPr>
        <w:pStyle w:val="newncpi"/>
      </w:pPr>
      <w:r>
        <w:t>– оплата труда производится по выполняемой работе. При этом при временном переводе на нижеоплачиваемую работу за работником, выполняющим нормы выработки или переведенным на повременно оплачиваемую работу, сохраняется средний заработок по прежней работе, а работнику, не выполняющему нормы выработки, производится оплата труда по выполняемой работе, но не ниже его тарифной ставки (тарифного оклада), оклада (ч. 2 ст. 68 ТК).</w:t>
      </w:r>
    </w:p>
    <w:p w:rsidR="00293DFD" w:rsidRDefault="00293DFD">
      <w:pPr>
        <w:pStyle w:val="newncpi"/>
      </w:pPr>
      <w:r>
        <w:t>Отметим, что согласие работника на временный перевод в случае простоя не требуется (ч. 2 ст. 30 ТК).</w:t>
      </w:r>
    </w:p>
    <w:p w:rsidR="00293DFD" w:rsidRDefault="00293DFD">
      <w:pPr>
        <w:pStyle w:val="newncpi"/>
      </w:pPr>
      <w:r>
        <w:t>Отказ работника от выполнения работы при таком переводе, совершенном с соблюдением требований законодательства, может быть расценен нанимателем как нарушение трудовой дисциплины, а невыход на работу – как прогул. В таком случае наниматель может привлечь работника к дисциплинарной ответственности.</w:t>
      </w:r>
    </w:p>
    <w:p w:rsidR="00293DFD" w:rsidRDefault="00293DFD">
      <w:pPr>
        <w:pStyle w:val="newncpi"/>
      </w:pPr>
      <w:r>
        <w:t>Так как для временного перевода работника на другую работу в случае простоя заявление не требуется, нанимателю необходимо издать только приказ (распоряжение) о временном переводе с указанием причин и срока временного перевода, работы, на которую переводится работник, а также условий оплаты труда (ч. 2 ст. 32</w:t>
      </w:r>
      <w:r>
        <w:rPr>
          <w:vertAlign w:val="superscript"/>
        </w:rPr>
        <w:t xml:space="preserve">1 </w:t>
      </w:r>
      <w:r>
        <w:t>ТК).</w:t>
      </w:r>
    </w:p>
    <w:p w:rsidR="00293DFD" w:rsidRDefault="00293DFD">
      <w:pPr>
        <w:pStyle w:val="newncpi"/>
      </w:pPr>
      <w:r>
        <w:t>Вместе с тем приказ (распоряжение) о таком переводе издается на основании докладной (служебной, информационной) записки, акта о простое, иного документа.</w:t>
      </w:r>
    </w:p>
    <w:p w:rsidR="00293DFD" w:rsidRDefault="00293DFD">
      <w:pPr>
        <w:pStyle w:val="titlep"/>
      </w:pPr>
      <w:r>
        <w:t>Алгоритм действий нанимателя при временном переводе работника на другую работу у того же нанимателя в случае простоя</w:t>
      </w:r>
    </w:p>
    <w:p w:rsidR="00293DFD" w:rsidRDefault="00293DFD">
      <w:pPr>
        <w:pStyle w:val="newncpi"/>
      </w:pPr>
      <w:r>
        <w:t>Исходя из вышеизложенного, можно предложить следующий алгоритм действий нанимателя, которые необходимо совершить при временном переводе работника на другую работу в случае простоя.</w:t>
      </w:r>
    </w:p>
    <w:p w:rsidR="00293DFD" w:rsidRDefault="00293DFD">
      <w:pPr>
        <w:pStyle w:val="newncpi"/>
      </w:pPr>
      <w:r>
        <w:rPr>
          <w:i/>
          <w:iCs/>
        </w:rPr>
        <w:t xml:space="preserve">Шаг 1. Оформление руководителем структурного подразделения организации докладной записки о необходимости временного перевода работника на другую работу у того же нанимателя в случае </w:t>
      </w:r>
      <w:proofErr w:type="gramStart"/>
      <w:r>
        <w:rPr>
          <w:i/>
          <w:iCs/>
        </w:rPr>
        <w:t>простоя &gt;</w:t>
      </w:r>
      <w:proofErr w:type="gramEnd"/>
      <w:r>
        <w:rPr>
          <w:i/>
          <w:iCs/>
        </w:rPr>
        <w:t>&gt;&gt;</w:t>
      </w:r>
    </w:p>
    <w:p w:rsidR="00293DFD" w:rsidRDefault="00293DFD">
      <w:pPr>
        <w:pStyle w:val="newncpi"/>
      </w:pPr>
      <w:r>
        <w:rPr>
          <w:i/>
          <w:iCs/>
        </w:rPr>
        <w:t xml:space="preserve">Шаг 2. Издание нанимателем приказа (распоряжения) о временном переводе работника на другую работу у того же нанимателя в случае простоя и ознакомление с ним работника под </w:t>
      </w:r>
      <w:proofErr w:type="gramStart"/>
      <w:r>
        <w:rPr>
          <w:i/>
          <w:iCs/>
        </w:rPr>
        <w:t>подпись &gt;</w:t>
      </w:r>
      <w:proofErr w:type="gramEnd"/>
      <w:r>
        <w:rPr>
          <w:i/>
          <w:iCs/>
        </w:rPr>
        <w:t>&gt;&gt;</w:t>
      </w:r>
    </w:p>
    <w:p w:rsidR="00293DFD" w:rsidRDefault="00293DFD">
      <w:pPr>
        <w:pStyle w:val="newncpi"/>
      </w:pPr>
      <w:r>
        <w:rPr>
          <w:i/>
          <w:iCs/>
        </w:rPr>
        <w:t xml:space="preserve">Шаг 3. Проведение инструктажа и проверки знаний по вопросам охраны труда и обеспечение работника специальной одеждой, специальной обувью и другими средствами индивидуальной </w:t>
      </w:r>
      <w:proofErr w:type="gramStart"/>
      <w:r>
        <w:rPr>
          <w:i/>
          <w:iCs/>
        </w:rPr>
        <w:t>защиты &gt;</w:t>
      </w:r>
      <w:proofErr w:type="gramEnd"/>
      <w:r>
        <w:rPr>
          <w:i/>
          <w:iCs/>
        </w:rPr>
        <w:t>&gt;&gt;</w:t>
      </w:r>
    </w:p>
    <w:p w:rsidR="00293DFD" w:rsidRDefault="00293DFD">
      <w:pPr>
        <w:pStyle w:val="newncpi"/>
      </w:pPr>
      <w:r>
        <w:rPr>
          <w:i/>
          <w:iCs/>
        </w:rPr>
        <w:t xml:space="preserve">Шаг 4. Предоставление работнику прежней работы по окончании срока временного перевода на другую работу у того же нанимателя в случае </w:t>
      </w:r>
      <w:proofErr w:type="gramStart"/>
      <w:r>
        <w:rPr>
          <w:i/>
          <w:iCs/>
        </w:rPr>
        <w:t>простоя &gt;</w:t>
      </w:r>
      <w:proofErr w:type="gramEnd"/>
      <w:r>
        <w:rPr>
          <w:i/>
          <w:iCs/>
        </w:rPr>
        <w:t>&gt;&gt;</w:t>
      </w:r>
    </w:p>
    <w:p w:rsidR="00293DFD" w:rsidRDefault="00293DFD">
      <w:pPr>
        <w:pStyle w:val="newncpi"/>
      </w:pPr>
      <w:r>
        <w:lastRenderedPageBreak/>
        <w:t> </w:t>
      </w:r>
    </w:p>
    <w:p w:rsidR="00293DFD" w:rsidRDefault="00293DFD">
      <w:pPr>
        <w:pStyle w:val="newncpi"/>
      </w:pPr>
      <w:r>
        <w:rPr>
          <w:b/>
          <w:bCs/>
        </w:rPr>
        <w:t>Шаг 1</w:t>
      </w:r>
      <w:r>
        <w:rPr>
          <w:b/>
          <w:bCs/>
          <w:i/>
          <w:iCs/>
        </w:rPr>
        <w:t>. Оформление руководителем структурного подразделения организации докладной записки о необходимости временного перевода работника на другую работу у того же нанимателя в случае простоя</w:t>
      </w:r>
    </w:p>
    <w:p w:rsidR="00293DFD" w:rsidRDefault="00293DFD">
      <w:pPr>
        <w:pStyle w:val="newncpi"/>
      </w:pPr>
      <w:r>
        <w:t>Если возникла необходимость во временном переводе работника на другую работу в случае простоя, руководитель структурного подразделения обращается к вышестоящему руководителю с докладной запиской, в которой излагает причины, свидетельствующие о необходимости такого перевода.</w:t>
      </w:r>
    </w:p>
    <w:p w:rsidR="00293DFD" w:rsidRDefault="00293DFD">
      <w:pPr>
        <w:pStyle w:val="newncpi"/>
      </w:pPr>
      <w:r>
        <w:t> </w:t>
      </w:r>
    </w:p>
    <w:p w:rsidR="00293DFD" w:rsidRDefault="00293DFD">
      <w:pPr>
        <w:pStyle w:val="titlep"/>
      </w:pPr>
      <w:r>
        <w:rPr>
          <w:i/>
          <w:iCs/>
        </w:rPr>
        <w:t>Пример докладной записки о необходимости временного перевода работника на другую работу у того же нанимателя в случае простоя</w:t>
      </w:r>
    </w:p>
    <w:p w:rsidR="00293DFD" w:rsidRDefault="00293DFD">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293DFD">
        <w:trPr>
          <w:trHeight w:val="240"/>
        </w:trPr>
        <w:tc>
          <w:tcPr>
            <w:tcW w:w="3334" w:type="pct"/>
            <w:tcMar>
              <w:top w:w="0" w:type="dxa"/>
              <w:left w:w="6" w:type="dxa"/>
              <w:bottom w:w="0" w:type="dxa"/>
              <w:right w:w="6" w:type="dxa"/>
            </w:tcMar>
            <w:hideMark/>
          </w:tcPr>
          <w:p w:rsidR="00293DFD" w:rsidRDefault="00293DFD">
            <w:pPr>
              <w:pStyle w:val="newncpi0"/>
            </w:pPr>
            <w:r>
              <w:t>Производственный цех № 1</w:t>
            </w:r>
          </w:p>
        </w:tc>
        <w:tc>
          <w:tcPr>
            <w:tcW w:w="1666" w:type="pct"/>
            <w:tcMar>
              <w:top w:w="0" w:type="dxa"/>
              <w:left w:w="6" w:type="dxa"/>
              <w:bottom w:w="0" w:type="dxa"/>
              <w:right w:w="6" w:type="dxa"/>
            </w:tcMar>
            <w:hideMark/>
          </w:tcPr>
          <w:p w:rsidR="00293DFD" w:rsidRDefault="00293DFD">
            <w:pPr>
              <w:pStyle w:val="newncpi0"/>
              <w:jc w:val="left"/>
            </w:pPr>
            <w:r>
              <w:t>Директору ООО «</w:t>
            </w:r>
            <w:proofErr w:type="spellStart"/>
            <w:proofErr w:type="gramStart"/>
            <w:r>
              <w:t>Эридан</w:t>
            </w:r>
            <w:proofErr w:type="spellEnd"/>
            <w:r>
              <w:t>»</w:t>
            </w:r>
            <w:r>
              <w:br/>
              <w:t>Николаеву</w:t>
            </w:r>
            <w:proofErr w:type="gramEnd"/>
            <w:r>
              <w:t xml:space="preserve"> А.П. </w:t>
            </w:r>
          </w:p>
        </w:tc>
      </w:tr>
    </w:tbl>
    <w:p w:rsidR="00293DFD" w:rsidRDefault="00293DFD">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293DFD">
        <w:trPr>
          <w:trHeight w:val="240"/>
        </w:trPr>
        <w:tc>
          <w:tcPr>
            <w:tcW w:w="3334" w:type="pct"/>
            <w:tcMar>
              <w:top w:w="0" w:type="dxa"/>
              <w:left w:w="6" w:type="dxa"/>
              <w:bottom w:w="0" w:type="dxa"/>
              <w:right w:w="6" w:type="dxa"/>
            </w:tcMar>
            <w:hideMark/>
          </w:tcPr>
          <w:p w:rsidR="00293DFD" w:rsidRDefault="00293DFD">
            <w:pPr>
              <w:pStyle w:val="newncpi0"/>
              <w:jc w:val="left"/>
            </w:pPr>
            <w:r>
              <w:t>ДОКЛАДНАЯ ЗАПИСКА</w:t>
            </w:r>
          </w:p>
        </w:tc>
        <w:tc>
          <w:tcPr>
            <w:tcW w:w="1666" w:type="pct"/>
            <w:tcMar>
              <w:top w:w="0" w:type="dxa"/>
              <w:left w:w="6" w:type="dxa"/>
              <w:bottom w:w="0" w:type="dxa"/>
              <w:right w:w="6" w:type="dxa"/>
            </w:tcMar>
            <w:hideMark/>
          </w:tcPr>
          <w:p w:rsidR="00293DFD" w:rsidRDefault="00293DFD">
            <w:pPr>
              <w:pStyle w:val="newncpi0"/>
              <w:jc w:val="left"/>
            </w:pPr>
            <w:r>
              <w:rPr>
                <w:i/>
                <w:iCs/>
              </w:rPr>
              <w:t>Резолюция</w:t>
            </w:r>
          </w:p>
        </w:tc>
      </w:tr>
    </w:tbl>
    <w:p w:rsidR="00293DFD" w:rsidRDefault="00293DFD">
      <w:pPr>
        <w:pStyle w:val="newncpi0"/>
        <w:jc w:val="left"/>
      </w:pPr>
      <w:r>
        <w:t>28.02.2020 № 4</w:t>
      </w:r>
      <w:r>
        <w:br/>
        <w:t>г. Минск</w:t>
      </w:r>
      <w:r>
        <w:br/>
        <w:t>О временном переводе</w:t>
      </w:r>
      <w:r>
        <w:br/>
        <w:t>на другую работу в связи</w:t>
      </w:r>
      <w:r>
        <w:br/>
        <w:t>с простоем</w:t>
      </w:r>
    </w:p>
    <w:p w:rsidR="00293DFD" w:rsidRDefault="00293DFD">
      <w:pPr>
        <w:pStyle w:val="newncpi"/>
      </w:pPr>
      <w:r>
        <w:t> </w:t>
      </w:r>
    </w:p>
    <w:p w:rsidR="00293DFD" w:rsidRDefault="00293DFD">
      <w:pPr>
        <w:pStyle w:val="newncpi"/>
      </w:pPr>
      <w:r>
        <w:t>В связи с простоем, вызванным поломкой токарного станка в производственном цехе № 1, прошу Петровича Владимира Николаевича, токаря-расточника 4-го разряда производственного цеха № 1, временно перевести на другую работу токарем-револьверщиком 4-го разряда производственного цеха № 2 с 02.03.2020 по 18.03.2020.</w:t>
      </w:r>
    </w:p>
    <w:p w:rsidR="00293DFD" w:rsidRDefault="00293DFD">
      <w:pPr>
        <w:pStyle w:val="newncpi"/>
      </w:pPr>
      <w:r>
        <w:t> </w:t>
      </w:r>
    </w:p>
    <w:tbl>
      <w:tblPr>
        <w:tblW w:w="5000" w:type="pct"/>
        <w:tblCellMar>
          <w:left w:w="0" w:type="dxa"/>
          <w:right w:w="0" w:type="dxa"/>
        </w:tblCellMar>
        <w:tblLook w:val="04A0" w:firstRow="1" w:lastRow="0" w:firstColumn="1" w:lastColumn="0" w:noHBand="0" w:noVBand="1"/>
      </w:tblPr>
      <w:tblGrid>
        <w:gridCol w:w="4381"/>
        <w:gridCol w:w="3277"/>
        <w:gridCol w:w="1699"/>
      </w:tblGrid>
      <w:tr w:rsidR="00293DFD">
        <w:trPr>
          <w:trHeight w:val="240"/>
        </w:trPr>
        <w:tc>
          <w:tcPr>
            <w:tcW w:w="2341" w:type="pct"/>
            <w:tcMar>
              <w:top w:w="0" w:type="dxa"/>
              <w:left w:w="6" w:type="dxa"/>
              <w:bottom w:w="0" w:type="dxa"/>
              <w:right w:w="6" w:type="dxa"/>
            </w:tcMar>
            <w:hideMark/>
          </w:tcPr>
          <w:p w:rsidR="00293DFD" w:rsidRDefault="00293DFD">
            <w:pPr>
              <w:pStyle w:val="newncpi0"/>
              <w:jc w:val="left"/>
            </w:pPr>
            <w:r>
              <w:t>Начальник производственного цеха № 1</w:t>
            </w:r>
          </w:p>
          <w:p w:rsidR="00293DFD" w:rsidRDefault="00293DFD">
            <w:pPr>
              <w:pStyle w:val="newncpi0"/>
              <w:jc w:val="left"/>
            </w:pPr>
            <w:r>
              <w:t> </w:t>
            </w:r>
          </w:p>
          <w:p w:rsidR="00293DFD" w:rsidRDefault="00293DFD">
            <w:pPr>
              <w:pStyle w:val="newncpi0"/>
              <w:jc w:val="left"/>
            </w:pPr>
            <w:r>
              <w:rPr>
                <w:i/>
                <w:iCs/>
              </w:rPr>
              <w:t>Визы</w:t>
            </w:r>
          </w:p>
        </w:tc>
        <w:tc>
          <w:tcPr>
            <w:tcW w:w="1751" w:type="pct"/>
            <w:tcMar>
              <w:top w:w="0" w:type="dxa"/>
              <w:left w:w="6" w:type="dxa"/>
              <w:bottom w:w="0" w:type="dxa"/>
              <w:right w:w="6" w:type="dxa"/>
            </w:tcMar>
            <w:hideMark/>
          </w:tcPr>
          <w:p w:rsidR="00293DFD" w:rsidRDefault="00293DFD">
            <w:pPr>
              <w:pStyle w:val="newncpi0"/>
              <w:jc w:val="center"/>
            </w:pPr>
            <w:r>
              <w:rPr>
                <w:i/>
                <w:iCs/>
              </w:rPr>
              <w:t>Подпись</w:t>
            </w:r>
          </w:p>
        </w:tc>
        <w:tc>
          <w:tcPr>
            <w:tcW w:w="908" w:type="pct"/>
            <w:tcMar>
              <w:top w:w="0" w:type="dxa"/>
              <w:left w:w="6" w:type="dxa"/>
              <w:bottom w:w="0" w:type="dxa"/>
              <w:right w:w="6" w:type="dxa"/>
            </w:tcMar>
            <w:hideMark/>
          </w:tcPr>
          <w:p w:rsidR="00293DFD" w:rsidRDefault="00293DFD">
            <w:pPr>
              <w:pStyle w:val="newncpi0"/>
              <w:jc w:val="left"/>
            </w:pPr>
            <w:proofErr w:type="spellStart"/>
            <w:r>
              <w:t>О.И.Семенов</w:t>
            </w:r>
            <w:proofErr w:type="spellEnd"/>
          </w:p>
        </w:tc>
      </w:tr>
    </w:tbl>
    <w:p w:rsidR="00293DFD" w:rsidRDefault="00293DFD">
      <w:pPr>
        <w:pStyle w:val="newncpi"/>
      </w:pPr>
      <w:r>
        <w:t> </w:t>
      </w:r>
    </w:p>
    <w:p w:rsidR="00293DFD" w:rsidRDefault="00293DFD">
      <w:pPr>
        <w:pStyle w:val="newncpi"/>
      </w:pPr>
      <w:r>
        <w:rPr>
          <w:b/>
          <w:bCs/>
        </w:rPr>
        <w:t xml:space="preserve">Шаг 2. </w:t>
      </w:r>
      <w:r>
        <w:rPr>
          <w:b/>
          <w:bCs/>
          <w:i/>
          <w:iCs/>
        </w:rPr>
        <w:t>Издание нанимателем приказа (распоряжения) о временном переводе работника на другую работу у того же нанимателя в случае простоя и ознакомление с ним работника под подпись</w:t>
      </w:r>
    </w:p>
    <w:p w:rsidR="00293DFD" w:rsidRDefault="00293DFD">
      <w:pPr>
        <w:pStyle w:val="newncpi"/>
      </w:pPr>
      <w:r>
        <w:t>Временный перевод производится на основании приказа (распоряжения) нанимателя о временном переводе (ч. 2 ст. 32</w:t>
      </w:r>
      <w:r>
        <w:rPr>
          <w:vertAlign w:val="superscript"/>
        </w:rPr>
        <w:t>1</w:t>
      </w:r>
      <w:r>
        <w:t xml:space="preserve"> ТК) с указанием:</w:t>
      </w:r>
    </w:p>
    <w:p w:rsidR="00293DFD" w:rsidRDefault="00293DFD">
      <w:pPr>
        <w:pStyle w:val="newncpi"/>
      </w:pPr>
      <w:r>
        <w:t>– причин временного перевода;</w:t>
      </w:r>
    </w:p>
    <w:p w:rsidR="00293DFD" w:rsidRDefault="00293DFD">
      <w:pPr>
        <w:pStyle w:val="newncpi"/>
      </w:pPr>
      <w:r>
        <w:t>– срока временного перевода;</w:t>
      </w:r>
    </w:p>
    <w:p w:rsidR="00293DFD" w:rsidRDefault="00293DFD">
      <w:pPr>
        <w:pStyle w:val="newncpi"/>
      </w:pPr>
      <w:r>
        <w:t>– работы, на которую переводится работник;</w:t>
      </w:r>
    </w:p>
    <w:p w:rsidR="00293DFD" w:rsidRDefault="00293DFD">
      <w:pPr>
        <w:pStyle w:val="newncpi"/>
      </w:pPr>
      <w:r>
        <w:t>– условий оплаты труда.</w:t>
      </w:r>
    </w:p>
    <w:p w:rsidR="00293DFD" w:rsidRDefault="00293DFD">
      <w:pPr>
        <w:pStyle w:val="newncpi"/>
      </w:pPr>
      <w:r>
        <w:t>С приказом (распоряжением) нанимателя о временном переводе работник должен быть ознакомлен под подпись. Как правило, соответствующая запись предусматривается в конце текста приказа (распоряжения).</w:t>
      </w:r>
    </w:p>
    <w:p w:rsidR="00293DFD" w:rsidRDefault="00293DFD">
      <w:pPr>
        <w:pStyle w:val="newncpi"/>
      </w:pPr>
      <w:r>
        <w:t> </w:t>
      </w:r>
    </w:p>
    <w:p w:rsidR="00293DFD" w:rsidRDefault="00293DFD">
      <w:pPr>
        <w:pStyle w:val="newncpi0"/>
        <w:jc w:val="center"/>
      </w:pPr>
      <w:r>
        <w:rPr>
          <w:b/>
          <w:bCs/>
          <w:i/>
          <w:iCs/>
        </w:rPr>
        <w:t>Пример приказа о временном переводе работника на другую работу у того же нанимателя в случае простоя</w:t>
      </w:r>
    </w:p>
    <w:p w:rsidR="00293DFD" w:rsidRDefault="00293DFD">
      <w:pPr>
        <w:pStyle w:val="newncpi"/>
      </w:pPr>
      <w:r>
        <w:t> </w:t>
      </w:r>
    </w:p>
    <w:p w:rsidR="00293DFD" w:rsidRDefault="00293DFD">
      <w:pPr>
        <w:pStyle w:val="newncpi0"/>
        <w:jc w:val="left"/>
      </w:pPr>
      <w:r>
        <w:t>Общество с ограниченной</w:t>
      </w:r>
      <w:r>
        <w:br/>
        <w:t>ответственностью «</w:t>
      </w:r>
      <w:proofErr w:type="spellStart"/>
      <w:r>
        <w:t>Эридан</w:t>
      </w:r>
      <w:proofErr w:type="spellEnd"/>
      <w:r>
        <w:t>»</w:t>
      </w:r>
    </w:p>
    <w:p w:rsidR="00293DFD" w:rsidRDefault="00293DFD">
      <w:pPr>
        <w:pStyle w:val="newncpi0"/>
        <w:jc w:val="left"/>
      </w:pPr>
      <w:r>
        <w:t> </w:t>
      </w:r>
    </w:p>
    <w:p w:rsidR="00293DFD" w:rsidRDefault="00293DFD">
      <w:pPr>
        <w:pStyle w:val="newncpi0"/>
        <w:jc w:val="left"/>
      </w:pPr>
      <w:r>
        <w:lastRenderedPageBreak/>
        <w:t>ПРИКАЗ</w:t>
      </w:r>
      <w:r>
        <w:br/>
        <w:t>28.02.2020 № 6-к</w:t>
      </w:r>
      <w:r>
        <w:br/>
        <w:t>г. Минск</w:t>
      </w:r>
      <w:r>
        <w:br/>
        <w:t>О временном переводе</w:t>
      </w:r>
      <w:r>
        <w:br/>
        <w:t>в связи с простоем</w:t>
      </w:r>
    </w:p>
    <w:p w:rsidR="00293DFD" w:rsidRDefault="00293DFD">
      <w:pPr>
        <w:pStyle w:val="newncpi0"/>
        <w:jc w:val="left"/>
      </w:pPr>
      <w:r>
        <w:t> </w:t>
      </w:r>
    </w:p>
    <w:p w:rsidR="00293DFD" w:rsidRDefault="00293DFD">
      <w:pPr>
        <w:pStyle w:val="newncpi0"/>
      </w:pPr>
      <w:r>
        <w:t>ПЕРЕВЕСТИ:</w:t>
      </w:r>
    </w:p>
    <w:p w:rsidR="00293DFD" w:rsidRDefault="00293DFD">
      <w:pPr>
        <w:pStyle w:val="newncpi"/>
      </w:pPr>
      <w:r>
        <w:t>ПЕТРОВИЧА Владимира Николаевича, токаря-расточника 4-го разряда производственного цеха № 1, на работу токарем-револьверщиком 4-го разряда производственного цеха № 2 с 02.03.2020 по 18.03.2020 в связи с простоем, вызванным поломкой токарного станка в производственном цехе № 1, с оплатой труда по выполняемой работе.</w:t>
      </w:r>
    </w:p>
    <w:p w:rsidR="00293DFD" w:rsidRDefault="00293DFD">
      <w:pPr>
        <w:pStyle w:val="newncpi"/>
      </w:pPr>
      <w:r>
        <w:t> </w:t>
      </w:r>
    </w:p>
    <w:tbl>
      <w:tblPr>
        <w:tblW w:w="5000" w:type="pct"/>
        <w:tblCellMar>
          <w:left w:w="0" w:type="dxa"/>
          <w:right w:w="0" w:type="dxa"/>
        </w:tblCellMar>
        <w:tblLook w:val="04A0" w:firstRow="1" w:lastRow="0" w:firstColumn="1" w:lastColumn="0" w:noHBand="0" w:noVBand="1"/>
      </w:tblPr>
      <w:tblGrid>
        <w:gridCol w:w="3120"/>
        <w:gridCol w:w="6237"/>
      </w:tblGrid>
      <w:tr w:rsidR="00293DFD">
        <w:trPr>
          <w:trHeight w:val="240"/>
        </w:trPr>
        <w:tc>
          <w:tcPr>
            <w:tcW w:w="1667" w:type="pct"/>
            <w:tcMar>
              <w:top w:w="0" w:type="dxa"/>
              <w:left w:w="6" w:type="dxa"/>
              <w:bottom w:w="0" w:type="dxa"/>
              <w:right w:w="6" w:type="dxa"/>
            </w:tcMar>
            <w:hideMark/>
          </w:tcPr>
          <w:p w:rsidR="00293DFD" w:rsidRDefault="00293DFD">
            <w:pPr>
              <w:pStyle w:val="newncpi0"/>
            </w:pPr>
            <w:r>
              <w:t xml:space="preserve">Основание: </w:t>
            </w:r>
          </w:p>
        </w:tc>
        <w:tc>
          <w:tcPr>
            <w:tcW w:w="3333" w:type="pct"/>
            <w:tcMar>
              <w:top w:w="0" w:type="dxa"/>
              <w:left w:w="6" w:type="dxa"/>
              <w:bottom w:w="0" w:type="dxa"/>
              <w:right w:w="6" w:type="dxa"/>
            </w:tcMar>
            <w:hideMark/>
          </w:tcPr>
          <w:p w:rsidR="00293DFD" w:rsidRDefault="00293DFD">
            <w:pPr>
              <w:pStyle w:val="newncpi0"/>
            </w:pPr>
            <w:proofErr w:type="gramStart"/>
            <w:r>
              <w:t>докладная</w:t>
            </w:r>
            <w:proofErr w:type="gramEnd"/>
            <w:r>
              <w:t xml:space="preserve"> записка от 28.02.2020 № 4 с резолюцией руководителя организации. </w:t>
            </w:r>
          </w:p>
        </w:tc>
      </w:tr>
    </w:tbl>
    <w:p w:rsidR="00293DFD" w:rsidRDefault="00293DFD">
      <w:pPr>
        <w:pStyle w:val="newncpi"/>
      </w:pPr>
      <w:r>
        <w:t> </w:t>
      </w:r>
    </w:p>
    <w:tbl>
      <w:tblPr>
        <w:tblW w:w="5000" w:type="pct"/>
        <w:tblCellMar>
          <w:left w:w="0" w:type="dxa"/>
          <w:right w:w="0" w:type="dxa"/>
        </w:tblCellMar>
        <w:tblLook w:val="04A0" w:firstRow="1" w:lastRow="0" w:firstColumn="1" w:lastColumn="0" w:noHBand="0" w:noVBand="1"/>
      </w:tblPr>
      <w:tblGrid>
        <w:gridCol w:w="3193"/>
        <w:gridCol w:w="4040"/>
        <w:gridCol w:w="2124"/>
      </w:tblGrid>
      <w:tr w:rsidR="00293DFD">
        <w:trPr>
          <w:trHeight w:val="240"/>
        </w:trPr>
        <w:tc>
          <w:tcPr>
            <w:tcW w:w="1706" w:type="pct"/>
            <w:tcMar>
              <w:top w:w="0" w:type="dxa"/>
              <w:left w:w="6" w:type="dxa"/>
              <w:bottom w:w="0" w:type="dxa"/>
              <w:right w:w="6" w:type="dxa"/>
            </w:tcMar>
            <w:hideMark/>
          </w:tcPr>
          <w:p w:rsidR="00293DFD" w:rsidRDefault="00293DFD">
            <w:pPr>
              <w:pStyle w:val="newncpi0"/>
              <w:jc w:val="left"/>
            </w:pPr>
            <w:r>
              <w:t>Директор общества</w:t>
            </w:r>
          </w:p>
          <w:p w:rsidR="00293DFD" w:rsidRDefault="00293DFD">
            <w:pPr>
              <w:pStyle w:val="newncpi0"/>
              <w:jc w:val="left"/>
            </w:pPr>
            <w:r>
              <w:t> </w:t>
            </w:r>
          </w:p>
          <w:p w:rsidR="00293DFD" w:rsidRDefault="00293DFD">
            <w:pPr>
              <w:pStyle w:val="newncpi0"/>
              <w:jc w:val="left"/>
            </w:pPr>
            <w:r>
              <w:rPr>
                <w:i/>
                <w:iCs/>
              </w:rPr>
              <w:t>Визы</w:t>
            </w:r>
          </w:p>
        </w:tc>
        <w:tc>
          <w:tcPr>
            <w:tcW w:w="2159" w:type="pct"/>
            <w:tcMar>
              <w:top w:w="0" w:type="dxa"/>
              <w:left w:w="6" w:type="dxa"/>
              <w:bottom w:w="0" w:type="dxa"/>
              <w:right w:w="6" w:type="dxa"/>
            </w:tcMar>
            <w:hideMark/>
          </w:tcPr>
          <w:p w:rsidR="00293DFD" w:rsidRDefault="00293DFD">
            <w:pPr>
              <w:pStyle w:val="newncpi0"/>
              <w:jc w:val="center"/>
            </w:pPr>
            <w:r>
              <w:rPr>
                <w:i/>
                <w:iCs/>
              </w:rPr>
              <w:t>Подпись</w:t>
            </w:r>
          </w:p>
        </w:tc>
        <w:tc>
          <w:tcPr>
            <w:tcW w:w="1135" w:type="pct"/>
            <w:tcMar>
              <w:top w:w="0" w:type="dxa"/>
              <w:left w:w="6" w:type="dxa"/>
              <w:bottom w:w="0" w:type="dxa"/>
              <w:right w:w="6" w:type="dxa"/>
            </w:tcMar>
            <w:hideMark/>
          </w:tcPr>
          <w:p w:rsidR="00293DFD" w:rsidRDefault="00293DFD">
            <w:pPr>
              <w:pStyle w:val="newncpi0"/>
              <w:jc w:val="left"/>
            </w:pPr>
            <w:proofErr w:type="spellStart"/>
            <w:r>
              <w:t>А.П.Николаев</w:t>
            </w:r>
            <w:proofErr w:type="spellEnd"/>
          </w:p>
        </w:tc>
      </w:tr>
    </w:tbl>
    <w:p w:rsidR="00293DFD" w:rsidRDefault="00293DFD">
      <w:pPr>
        <w:pStyle w:val="newncpi"/>
        <w:jc w:val="left"/>
      </w:pPr>
      <w:r>
        <w:t> </w:t>
      </w:r>
    </w:p>
    <w:tbl>
      <w:tblPr>
        <w:tblW w:w="5000" w:type="pct"/>
        <w:tblCellMar>
          <w:left w:w="0" w:type="dxa"/>
          <w:right w:w="0" w:type="dxa"/>
        </w:tblCellMar>
        <w:tblLook w:val="04A0" w:firstRow="1" w:lastRow="0" w:firstColumn="1" w:lastColumn="0" w:noHBand="0" w:noVBand="1"/>
      </w:tblPr>
      <w:tblGrid>
        <w:gridCol w:w="3193"/>
        <w:gridCol w:w="4040"/>
        <w:gridCol w:w="2124"/>
      </w:tblGrid>
      <w:tr w:rsidR="00293DFD">
        <w:trPr>
          <w:trHeight w:val="240"/>
        </w:trPr>
        <w:tc>
          <w:tcPr>
            <w:tcW w:w="1706" w:type="pct"/>
            <w:tcMar>
              <w:top w:w="0" w:type="dxa"/>
              <w:left w:w="6" w:type="dxa"/>
              <w:bottom w:w="0" w:type="dxa"/>
              <w:right w:w="6" w:type="dxa"/>
            </w:tcMar>
            <w:hideMark/>
          </w:tcPr>
          <w:p w:rsidR="00293DFD" w:rsidRDefault="00293DFD">
            <w:pPr>
              <w:pStyle w:val="newncpi0"/>
              <w:jc w:val="left"/>
            </w:pPr>
            <w:r>
              <w:t>С приказом ознакомлен</w:t>
            </w:r>
          </w:p>
        </w:tc>
        <w:tc>
          <w:tcPr>
            <w:tcW w:w="2159" w:type="pct"/>
            <w:tcMar>
              <w:top w:w="0" w:type="dxa"/>
              <w:left w:w="6" w:type="dxa"/>
              <w:bottom w:w="0" w:type="dxa"/>
              <w:right w:w="6" w:type="dxa"/>
            </w:tcMar>
            <w:hideMark/>
          </w:tcPr>
          <w:p w:rsidR="00293DFD" w:rsidRDefault="00293DFD">
            <w:pPr>
              <w:pStyle w:val="newncpi0"/>
              <w:jc w:val="center"/>
            </w:pPr>
            <w:r>
              <w:rPr>
                <w:i/>
                <w:iCs/>
              </w:rPr>
              <w:t>Подпись</w:t>
            </w:r>
          </w:p>
        </w:tc>
        <w:tc>
          <w:tcPr>
            <w:tcW w:w="1135" w:type="pct"/>
            <w:tcMar>
              <w:top w:w="0" w:type="dxa"/>
              <w:left w:w="6" w:type="dxa"/>
              <w:bottom w:w="0" w:type="dxa"/>
              <w:right w:w="6" w:type="dxa"/>
            </w:tcMar>
            <w:hideMark/>
          </w:tcPr>
          <w:p w:rsidR="00293DFD" w:rsidRDefault="00293DFD">
            <w:pPr>
              <w:pStyle w:val="newncpi0"/>
              <w:jc w:val="left"/>
            </w:pPr>
            <w:proofErr w:type="spellStart"/>
            <w:r>
              <w:t>В.Н.Петрович</w:t>
            </w:r>
            <w:proofErr w:type="spellEnd"/>
            <w:r>
              <w:br/>
              <w:t>28.02.2020</w:t>
            </w:r>
          </w:p>
        </w:tc>
      </w:tr>
    </w:tbl>
    <w:p w:rsidR="00293DFD" w:rsidRDefault="00293DFD">
      <w:pPr>
        <w:pStyle w:val="newncpi"/>
      </w:pPr>
      <w:r>
        <w:t> </w:t>
      </w:r>
    </w:p>
    <w:p w:rsidR="00293DFD" w:rsidRDefault="00293DFD">
      <w:pPr>
        <w:pStyle w:val="newncpi"/>
      </w:pPr>
      <w:r>
        <w:rPr>
          <w:b/>
          <w:bCs/>
        </w:rPr>
        <w:t xml:space="preserve">Шаг 3. </w:t>
      </w:r>
      <w:r>
        <w:rPr>
          <w:b/>
          <w:bCs/>
          <w:i/>
          <w:iCs/>
        </w:rPr>
        <w:t>Проведение инструктажа и проверки знаний по вопросам охраны труда и обеспечение работника специальной одеждой, специальной обувью и другими средствами индивидуальной защиты</w:t>
      </w:r>
    </w:p>
    <w:p w:rsidR="00293DFD" w:rsidRDefault="00293DFD">
      <w:pPr>
        <w:pStyle w:val="newncpi"/>
      </w:pPr>
      <w:r>
        <w:t>С работающими, переведенными из одного подразделения в другое или с одного объекта на другой, проводят первичный инструктаж по охране труда на рабочем месте до начала работы (</w:t>
      </w:r>
      <w:proofErr w:type="spellStart"/>
      <w:r>
        <w:t>абз</w:t>
      </w:r>
      <w:proofErr w:type="spellEnd"/>
      <w:r>
        <w:t>. 3 п. 49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«Об утверждении Инструкции о порядке обучения, стажировки, инструктажа и проверки знаний работающих по вопросам охраны труда» (далее – Инструкция о порядке инструктажа по вопросам охраны труда)).</w:t>
      </w:r>
    </w:p>
    <w:p w:rsidR="00293DFD" w:rsidRDefault="00293DFD">
      <w:pPr>
        <w:pStyle w:val="newncpi"/>
      </w:pPr>
      <w:r>
        <w:t xml:space="preserve">Одной из обязанностей нанимателя является организация проведения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 (</w:t>
      </w:r>
      <w:proofErr w:type="spellStart"/>
      <w:r>
        <w:t>абз</w:t>
      </w:r>
      <w:proofErr w:type="spellEnd"/>
      <w:r>
        <w:t>. 13 ч. 2 ст. 17 Закона Республики Беларусь от 23.06.2008 № 356-З «Об охране труда» (далее – Закон об охране труда)).</w:t>
      </w:r>
    </w:p>
    <w:p w:rsidR="00293DFD" w:rsidRDefault="00293DFD">
      <w:pPr>
        <w:pStyle w:val="newncpi"/>
      </w:pPr>
      <w:r>
        <w:t>Среди прочих обязанностей наниматель несет в том числе обязанности по 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 (</w:t>
      </w:r>
      <w:proofErr w:type="spellStart"/>
      <w:r>
        <w:t>абз</w:t>
      </w:r>
      <w:proofErr w:type="spellEnd"/>
      <w:r>
        <w:t>. 6 ч. 2 ст. 17 Закона об охране труда).</w:t>
      </w:r>
    </w:p>
    <w:p w:rsidR="00293DFD" w:rsidRDefault="00293DFD">
      <w:pPr>
        <w:pStyle w:val="newncpi"/>
      </w:pPr>
      <w:r>
        <w:t xml:space="preserve">В организациях проверку знаний рабочих по вопросам охраны труда проводит комиссия для проверки знаний работающих по вопросам охраны труда (комиссия организации) или комиссия структурного подразделения. Запись о прохождении проверки знаний по вопросам охраны труда вносится в удостоверение по охране труда по форме </w:t>
      </w:r>
      <w:r>
        <w:lastRenderedPageBreak/>
        <w:t>согласно приложению 2 к Инструкции о порядке инструктажа по вопросам охраны труда и личную карточку по охране труда (если она применяется) по форме согласно приложению 3 к Инструкции о порядке инструктажа по вопросам охраны труда.</w:t>
      </w:r>
    </w:p>
    <w:p w:rsidR="00293DFD" w:rsidRDefault="00293DFD">
      <w:pPr>
        <w:pStyle w:val="newncpi"/>
      </w:pPr>
      <w: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 (ч. 2 п. 28 Инструкции о порядке инструктажа по вопросам охраны труда).</w:t>
      </w:r>
    </w:p>
    <w:p w:rsidR="00293DFD" w:rsidRDefault="00293DFD">
      <w:pPr>
        <w:pStyle w:val="newncpi"/>
      </w:pPr>
      <w:r>
        <w:t>Внеочередная проверка знаний по вопросам охраны труда рабочих проводится по требованию:</w:t>
      </w:r>
    </w:p>
    <w:p w:rsidR="00293DFD" w:rsidRDefault="00293DFD">
      <w:pPr>
        <w:pStyle w:val="newncpi"/>
      </w:pPr>
      <w:r>
        <w:t>– представителей органов, уполномоченных на осуществление контроля (надзора);</w:t>
      </w:r>
    </w:p>
    <w:p w:rsidR="00293DFD" w:rsidRDefault="00293DFD">
      <w:pPr>
        <w:pStyle w:val="newncpi"/>
      </w:pPr>
      <w:r>
        <w:t>– руководителя организации (структурного подразделения) или должностного лица организации, ответственного за организацию охраны труда;</w:t>
      </w:r>
    </w:p>
    <w:p w:rsidR="00293DFD" w:rsidRDefault="00293DFD">
      <w:pPr>
        <w:pStyle w:val="newncpi"/>
      </w:pPr>
      <w:r>
        <w:t>–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293DFD" w:rsidRDefault="00293DFD">
      <w:pPr>
        <w:pStyle w:val="newncpi"/>
      </w:pPr>
      <w:r>
        <w:t>Проверка знаний по вопросам охраны труда руководителей и специалистов проводится в соответствии с Инструкцией о порядке инструктажа по вопросам охраны труда (ч. 2 п. 33 Инструкции о порядке инструктажа по вопросам охраны труда).</w:t>
      </w:r>
    </w:p>
    <w:p w:rsidR="00293DFD" w:rsidRDefault="00293DFD">
      <w:pPr>
        <w:pStyle w:val="newncpi"/>
      </w:pPr>
      <w:r>
        <w:t>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6 к Инструкции о порядке инструктажа по вопросам охраны труда руководитель организации утверждает соответствующий перечень.</w:t>
      </w:r>
    </w:p>
    <w:p w:rsidR="00293DFD" w:rsidRDefault="00293DFD">
      <w:pPr>
        <w:pStyle w:val="newncpi"/>
      </w:pPr>
      <w:r>
        <w:t>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руководители и специалисты проходят проверку знаний по вопросам охраны труда в соответствующих комиссиях (п. 39 Инструкции о порядке инструктажа по вопросам охраны труда).</w:t>
      </w:r>
    </w:p>
    <w:p w:rsidR="00293DFD" w:rsidRDefault="00293DFD">
      <w:pPr>
        <w:pStyle w:val="newncpi"/>
      </w:pPr>
      <w:r>
        <w:t>Проверка знаний по вопросам охраны труда руководителей и специалистов проводится с учетом их должностных обязанностей и характера производственной деятельности, а также требований нормативных правовых актов, в том числе технических нормативных правовых актов и локальных правовых актов, содержащих требования по охране труда, соблюдение которых входит в их должностные обязанности.</w:t>
      </w:r>
    </w:p>
    <w:p w:rsidR="00293DFD" w:rsidRDefault="00293DFD">
      <w:pPr>
        <w:pStyle w:val="newncpi"/>
      </w:pPr>
      <w:r>
        <w:t>Перечень вопросов (билеты) для проверки знаний по вопросам охраны труда руководителей и специалистов разрабатывается с учетом специфики производственной деятельности на основе типового перечня вопросов для обучения и проверки знаний по вопросам охраны труда руководителей и специалистов согласно приложению 5 к Инструкции о порядке инструктажа по вопросам охраны труда.</w:t>
      </w:r>
    </w:p>
    <w:p w:rsidR="00293DFD" w:rsidRDefault="00293DFD">
      <w:pPr>
        <w:pStyle w:val="newncpi"/>
      </w:pPr>
      <w:r>
        <w:t>Руководители и специалисты, прошедшие проверку знаний по вопросам охраны труда, получают удостоверение по охране труда.</w:t>
      </w:r>
    </w:p>
    <w:p w:rsidR="00293DFD" w:rsidRDefault="00293DFD">
      <w:pPr>
        <w:pStyle w:val="newncpi"/>
      </w:pPr>
      <w:r>
        <w:t>Внеочередная проверка знаний руководителей и специалистов по вопросам охраны труда проводится (п. 43 Инструкции о порядке инструктажа по вопросам охраны труда):</w:t>
      </w:r>
    </w:p>
    <w:p w:rsidR="00293DFD" w:rsidRDefault="00293DFD">
      <w:pPr>
        <w:pStyle w:val="newncpi"/>
      </w:pPr>
      <w:r>
        <w:t>– 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293DFD" w:rsidRDefault="00293DFD">
      <w:pPr>
        <w:pStyle w:val="newncpi"/>
      </w:pPr>
      <w:r>
        <w:t>– 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293DFD" w:rsidRDefault="00293DFD">
      <w:pPr>
        <w:pStyle w:val="newncpi"/>
      </w:pPr>
      <w:r>
        <w:t>– по требованию органов, уполномоченных на осуществление контроля (надзора);</w:t>
      </w:r>
    </w:p>
    <w:p w:rsidR="00293DFD" w:rsidRDefault="00293DFD">
      <w:pPr>
        <w:pStyle w:val="newncpi"/>
      </w:pPr>
      <w:r>
        <w:t>– по решению руководителя организации или другого должностного лица, ответственного за организацию охраны труда, при выявлении нарушений требований по охране труда или незнании норм нормативных правовых актов, технических нормативных правовых актов, локальных правовых актов по охране труда, которые могут привести или привели к аварии, несчастному случаю на производстве и другим тяжелым последствиям;</w:t>
      </w:r>
    </w:p>
    <w:p w:rsidR="00293DFD" w:rsidRDefault="00293DFD">
      <w:pPr>
        <w:pStyle w:val="newncpi"/>
      </w:pPr>
      <w:r>
        <w:t>– при перерыве в работе в данной должности более одного года.</w:t>
      </w:r>
    </w:p>
    <w:p w:rsidR="00293DFD" w:rsidRDefault="00293DFD">
      <w:pPr>
        <w:pStyle w:val="newncpi"/>
      </w:pPr>
      <w:r>
        <w:lastRenderedPageBreak/>
        <w:t>При организации труда работников наниматель также обязан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 (п. 8 ч. 1 ст. 55 ТК).</w:t>
      </w:r>
    </w:p>
    <w:p w:rsidR="00293DFD" w:rsidRDefault="00293DFD">
      <w:pPr>
        <w:pStyle w:val="newncpi"/>
      </w:pPr>
      <w:r>
        <w:t> </w:t>
      </w:r>
    </w:p>
    <w:p w:rsidR="00293DFD" w:rsidRDefault="00293DFD">
      <w:pPr>
        <w:pStyle w:val="newncpi"/>
      </w:pPr>
      <w:r>
        <w:rPr>
          <w:b/>
          <w:bCs/>
        </w:rPr>
        <w:t xml:space="preserve">Шаг 4. </w:t>
      </w:r>
      <w:r>
        <w:rPr>
          <w:b/>
          <w:bCs/>
          <w:i/>
          <w:iCs/>
        </w:rPr>
        <w:t>Предоставление работнику прежней работы по окончании срока временного перевода на другую работу у того же нанимателя</w:t>
      </w:r>
    </w:p>
    <w:p w:rsidR="00293DFD" w:rsidRDefault="00293DFD">
      <w:pPr>
        <w:pStyle w:val="newncpi"/>
      </w:pPr>
      <w:r>
        <w:t>После окончания срока временного перевода работник приступает к выполнению обязанностей на прежнем рабочем месте у своего нанимателя.</w:t>
      </w:r>
    </w:p>
    <w:p w:rsidR="00293DFD" w:rsidRDefault="00293DFD">
      <w:pPr>
        <w:pStyle w:val="newncpi"/>
      </w:pPr>
      <w:r>
        <w:t> </w:t>
      </w:r>
    </w:p>
    <w:p w:rsidR="00293DFD" w:rsidRDefault="00293DFD">
      <w:pPr>
        <w:pStyle w:val="newncpi"/>
      </w:pPr>
      <w:r>
        <w:rPr>
          <w:b/>
          <w:bCs/>
        </w:rPr>
        <w:t>Вывод</w:t>
      </w:r>
    </w:p>
    <w:p w:rsidR="00293DFD" w:rsidRDefault="00293DFD">
      <w:pPr>
        <w:pStyle w:val="newncpi"/>
      </w:pPr>
      <w:r>
        <w:t>В завершение отметим, что нормы ст. 32</w:t>
      </w:r>
      <w:r>
        <w:rPr>
          <w:vertAlign w:val="superscript"/>
        </w:rPr>
        <w:t>1</w:t>
      </w:r>
      <w:r>
        <w:t xml:space="preserve"> ТК конкретизируют и дополняют условия временного перевода в случае простоя у того же нанимателя, предусмотренные ст. 34 ТК, устанавливают обязательные требования к содержанию приказа (распоряжения) о временном переводе и позволяют продолжить действие трудового договора без заключения другого.</w:t>
      </w:r>
    </w:p>
    <w:p w:rsidR="00316E3C" w:rsidRDefault="00316E3C"/>
    <w:sectPr w:rsidR="00316E3C" w:rsidSect="00293DFD">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DFD" w:rsidRDefault="00293DFD" w:rsidP="00293DFD">
      <w:pPr>
        <w:spacing w:after="0" w:line="240" w:lineRule="auto"/>
      </w:pPr>
      <w:r>
        <w:separator/>
      </w:r>
    </w:p>
  </w:endnote>
  <w:endnote w:type="continuationSeparator" w:id="0">
    <w:p w:rsidR="00293DFD" w:rsidRDefault="00293DFD" w:rsidP="0029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DFD" w:rsidRDefault="00293DFD" w:rsidP="00293DFD">
      <w:pPr>
        <w:spacing w:after="0" w:line="240" w:lineRule="auto"/>
      </w:pPr>
      <w:r>
        <w:separator/>
      </w:r>
    </w:p>
  </w:footnote>
  <w:footnote w:type="continuationSeparator" w:id="0">
    <w:p w:rsidR="00293DFD" w:rsidRDefault="00293DFD" w:rsidP="00293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FD" w:rsidRDefault="00293DFD" w:rsidP="00284C0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93DFD" w:rsidRDefault="00293D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DFD" w:rsidRPr="00293DFD" w:rsidRDefault="00293DFD" w:rsidP="00284C09">
    <w:pPr>
      <w:pStyle w:val="a3"/>
      <w:framePr w:wrap="around" w:vAnchor="text" w:hAnchor="margin" w:xAlign="center" w:y="1"/>
      <w:rPr>
        <w:rStyle w:val="a7"/>
        <w:rFonts w:ascii="Times New Roman" w:hAnsi="Times New Roman" w:cs="Times New Roman"/>
        <w:sz w:val="24"/>
      </w:rPr>
    </w:pPr>
    <w:r w:rsidRPr="00293DFD">
      <w:rPr>
        <w:rStyle w:val="a7"/>
        <w:rFonts w:ascii="Times New Roman" w:hAnsi="Times New Roman" w:cs="Times New Roman"/>
        <w:sz w:val="24"/>
      </w:rPr>
      <w:fldChar w:fldCharType="begin"/>
    </w:r>
    <w:r w:rsidRPr="00293DFD">
      <w:rPr>
        <w:rStyle w:val="a7"/>
        <w:rFonts w:ascii="Times New Roman" w:hAnsi="Times New Roman" w:cs="Times New Roman"/>
        <w:sz w:val="24"/>
      </w:rPr>
      <w:instrText xml:space="preserve">PAGE  </w:instrText>
    </w:r>
    <w:r w:rsidRPr="00293DFD">
      <w:rPr>
        <w:rStyle w:val="a7"/>
        <w:rFonts w:ascii="Times New Roman" w:hAnsi="Times New Roman" w:cs="Times New Roman"/>
        <w:sz w:val="24"/>
      </w:rPr>
      <w:fldChar w:fldCharType="separate"/>
    </w:r>
    <w:r w:rsidR="00E60771">
      <w:rPr>
        <w:rStyle w:val="a7"/>
        <w:rFonts w:ascii="Times New Roman" w:hAnsi="Times New Roman" w:cs="Times New Roman"/>
        <w:noProof/>
        <w:sz w:val="24"/>
      </w:rPr>
      <w:t>6</w:t>
    </w:r>
    <w:r w:rsidRPr="00293DFD">
      <w:rPr>
        <w:rStyle w:val="a7"/>
        <w:rFonts w:ascii="Times New Roman" w:hAnsi="Times New Roman" w:cs="Times New Roman"/>
        <w:sz w:val="24"/>
      </w:rPr>
      <w:fldChar w:fldCharType="end"/>
    </w:r>
  </w:p>
  <w:p w:rsidR="00293DFD" w:rsidRPr="00293DFD" w:rsidRDefault="00293DFD">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FD"/>
    <w:rsid w:val="00293DFD"/>
    <w:rsid w:val="00316E3C"/>
    <w:rsid w:val="006D2369"/>
    <w:rsid w:val="00D0492E"/>
    <w:rsid w:val="00E6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FE11DF-9F8F-40AE-8475-63D4732D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293DF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onumheader">
    <w:name w:val="nonumheader"/>
    <w:basedOn w:val="a"/>
    <w:rsid w:val="00293DF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293DF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293DFD"/>
    <w:pPr>
      <w:spacing w:after="0" w:line="240" w:lineRule="auto"/>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293D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93DFD"/>
  </w:style>
  <w:style w:type="paragraph" w:styleId="a5">
    <w:name w:val="footer"/>
    <w:basedOn w:val="a"/>
    <w:link w:val="a6"/>
    <w:uiPriority w:val="99"/>
    <w:unhideWhenUsed/>
    <w:rsid w:val="00293D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93DFD"/>
  </w:style>
  <w:style w:type="character" w:styleId="a7">
    <w:name w:val="page number"/>
    <w:basedOn w:val="a0"/>
    <w:uiPriority w:val="99"/>
    <w:semiHidden/>
    <w:unhideWhenUsed/>
    <w:rsid w:val="00293DFD"/>
  </w:style>
  <w:style w:type="table" w:styleId="a8">
    <w:name w:val="Table Grid"/>
    <w:basedOn w:val="a1"/>
    <w:uiPriority w:val="39"/>
    <w:rsid w:val="0029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2012</Words>
  <Characters>13167</Characters>
  <Application>Microsoft Office Word</Application>
  <DocSecurity>0</DocSecurity>
  <Lines>109</Lines>
  <Paragraphs>30</Paragraphs>
  <ScaleCrop>false</ScaleCrop>
  <Company>SPecialiST RePack</Company>
  <LinksUpToDate>false</LinksUpToDate>
  <CharactersWithSpaces>15149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2020-09-08T13:45:00Z</dcterms:created>
  <dcterms:modified xsi:type="dcterms:W3CDTF">2021-01-25T10:45:00Z</dcterms:modified>
</cp:coreProperties>
</file>